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3249A" w14:textId="77777777" w:rsidR="00B34041" w:rsidRDefault="00B34041" w:rsidP="001B1381">
      <w:pPr>
        <w:widowControl w:val="0"/>
        <w:pBdr>
          <w:top w:val="double" w:sz="4" w:space="1" w:color="auto"/>
          <w:left w:val="double" w:sz="4" w:space="4" w:color="auto"/>
          <w:bottom w:val="double" w:sz="4" w:space="1" w:color="auto"/>
          <w:right w:val="double" w:sz="4" w:space="4" w:color="auto"/>
        </w:pBdr>
        <w:suppressAutoHyphens/>
        <w:autoSpaceDE w:val="0"/>
        <w:spacing w:before="100" w:beforeAutospacing="1" w:after="100" w:afterAutospacing="1" w:line="240" w:lineRule="auto"/>
        <w:ind w:left="720" w:right="204" w:hanging="720"/>
        <w:jc w:val="center"/>
        <w:rPr>
          <w:rFonts w:ascii="Arial" w:eastAsia="Times New Roman" w:hAnsi="Arial" w:cs="Arial"/>
          <w:b/>
          <w:bCs/>
          <w:sz w:val="24"/>
          <w:szCs w:val="24"/>
          <w:lang w:eastAsia="ar-SA"/>
        </w:rPr>
      </w:pPr>
    </w:p>
    <w:p w14:paraId="3BFEFB35" w14:textId="0234EECA" w:rsidR="00984399" w:rsidRDefault="00673862" w:rsidP="001B1381">
      <w:pPr>
        <w:widowControl w:val="0"/>
        <w:pBdr>
          <w:top w:val="double" w:sz="4" w:space="1" w:color="auto"/>
          <w:left w:val="double" w:sz="4" w:space="4" w:color="auto"/>
          <w:bottom w:val="double" w:sz="4" w:space="1" w:color="auto"/>
          <w:right w:val="double" w:sz="4" w:space="4" w:color="auto"/>
        </w:pBdr>
        <w:suppressAutoHyphens/>
        <w:autoSpaceDE w:val="0"/>
        <w:spacing w:before="100" w:beforeAutospacing="1" w:after="100" w:afterAutospacing="1" w:line="240" w:lineRule="auto"/>
        <w:ind w:left="720" w:right="204" w:hanging="720"/>
        <w:jc w:val="center"/>
        <w:rPr>
          <w:rFonts w:ascii="Arial" w:eastAsia="Times New Roman" w:hAnsi="Arial" w:cs="Arial"/>
          <w:b/>
          <w:bCs/>
          <w:sz w:val="24"/>
          <w:szCs w:val="24"/>
          <w:lang w:eastAsia="ar-SA"/>
        </w:rPr>
      </w:pPr>
      <w:r>
        <w:rPr>
          <w:rFonts w:ascii="Arial" w:eastAsia="Times New Roman" w:hAnsi="Arial" w:cs="Arial"/>
          <w:b/>
          <w:bCs/>
          <w:sz w:val="24"/>
          <w:szCs w:val="24"/>
          <w:lang w:eastAsia="ar-SA"/>
        </w:rPr>
        <w:t>PR</w:t>
      </w:r>
      <w:r w:rsidR="000575C5">
        <w:rPr>
          <w:rFonts w:ascii="Arial" w:eastAsia="Times New Roman" w:hAnsi="Arial" w:cs="Arial"/>
          <w:b/>
          <w:bCs/>
          <w:sz w:val="24"/>
          <w:szCs w:val="24"/>
          <w:lang w:eastAsia="ar-SA"/>
        </w:rPr>
        <w:t>OB</w:t>
      </w:r>
      <w:r>
        <w:rPr>
          <w:rFonts w:ascii="Arial" w:eastAsia="Times New Roman" w:hAnsi="Arial" w:cs="Arial"/>
          <w:b/>
          <w:bCs/>
          <w:sz w:val="24"/>
          <w:szCs w:val="24"/>
          <w:lang w:eastAsia="ar-SA"/>
        </w:rPr>
        <w:t xml:space="preserve">ATE </w:t>
      </w:r>
      <w:r w:rsidR="000575C5">
        <w:rPr>
          <w:rFonts w:ascii="Arial" w:eastAsia="Times New Roman" w:hAnsi="Arial" w:cs="Arial"/>
          <w:b/>
          <w:bCs/>
          <w:sz w:val="24"/>
          <w:szCs w:val="24"/>
          <w:lang w:eastAsia="ar-SA"/>
        </w:rPr>
        <w:t>PRA</w:t>
      </w:r>
      <w:r>
        <w:rPr>
          <w:rFonts w:ascii="Arial" w:eastAsia="Times New Roman" w:hAnsi="Arial" w:cs="Arial"/>
          <w:b/>
          <w:bCs/>
          <w:sz w:val="24"/>
          <w:szCs w:val="24"/>
          <w:lang w:eastAsia="ar-SA"/>
        </w:rPr>
        <w:t>C</w:t>
      </w:r>
      <w:r w:rsidR="000575C5">
        <w:rPr>
          <w:rFonts w:ascii="Arial" w:eastAsia="Times New Roman" w:hAnsi="Arial" w:cs="Arial"/>
          <w:b/>
          <w:bCs/>
          <w:sz w:val="24"/>
          <w:szCs w:val="24"/>
          <w:lang w:eastAsia="ar-SA"/>
        </w:rPr>
        <w:t>T</w:t>
      </w:r>
      <w:r>
        <w:rPr>
          <w:rFonts w:ascii="Arial" w:eastAsia="Times New Roman" w:hAnsi="Arial" w:cs="Arial"/>
          <w:b/>
          <w:bCs/>
          <w:sz w:val="24"/>
          <w:szCs w:val="24"/>
          <w:lang w:eastAsia="ar-SA"/>
        </w:rPr>
        <w:t>I</w:t>
      </w:r>
      <w:r w:rsidR="000575C5">
        <w:rPr>
          <w:rFonts w:ascii="Arial" w:eastAsia="Times New Roman" w:hAnsi="Arial" w:cs="Arial"/>
          <w:b/>
          <w:bCs/>
          <w:sz w:val="24"/>
          <w:szCs w:val="24"/>
          <w:lang w:eastAsia="ar-SA"/>
        </w:rPr>
        <w:t>TIO</w:t>
      </w:r>
      <w:r>
        <w:rPr>
          <w:rFonts w:ascii="Arial" w:eastAsia="Times New Roman" w:hAnsi="Arial" w:cs="Arial"/>
          <w:b/>
          <w:bCs/>
          <w:sz w:val="24"/>
          <w:szCs w:val="24"/>
          <w:lang w:eastAsia="ar-SA"/>
        </w:rPr>
        <w:t>N</w:t>
      </w:r>
      <w:r w:rsidR="000575C5">
        <w:rPr>
          <w:rFonts w:ascii="Arial" w:eastAsia="Times New Roman" w:hAnsi="Arial" w:cs="Arial"/>
          <w:b/>
          <w:bCs/>
          <w:sz w:val="24"/>
          <w:szCs w:val="24"/>
          <w:lang w:eastAsia="ar-SA"/>
        </w:rPr>
        <w:t>ERS</w:t>
      </w:r>
      <w:r>
        <w:rPr>
          <w:rFonts w:ascii="Arial" w:eastAsia="Times New Roman" w:hAnsi="Arial" w:cs="Arial"/>
          <w:b/>
          <w:bCs/>
          <w:sz w:val="24"/>
          <w:szCs w:val="24"/>
          <w:lang w:eastAsia="ar-SA"/>
        </w:rPr>
        <w:t xml:space="preserve"> UPDATE</w:t>
      </w:r>
    </w:p>
    <w:p w14:paraId="3FF7EAF5" w14:textId="77777777" w:rsidR="00C071CA" w:rsidRPr="00C071CA" w:rsidRDefault="00C071CA" w:rsidP="001B1381">
      <w:pPr>
        <w:widowControl w:val="0"/>
        <w:pBdr>
          <w:top w:val="double" w:sz="4" w:space="1" w:color="auto"/>
          <w:left w:val="double" w:sz="4" w:space="4" w:color="auto"/>
          <w:bottom w:val="double" w:sz="4" w:space="1" w:color="auto"/>
          <w:right w:val="double" w:sz="4" w:space="4" w:color="auto"/>
        </w:pBdr>
        <w:suppressAutoHyphens/>
        <w:autoSpaceDE w:val="0"/>
        <w:spacing w:before="100" w:beforeAutospacing="1" w:after="100" w:afterAutospacing="1" w:line="240" w:lineRule="auto"/>
        <w:ind w:left="720" w:right="204" w:hanging="720"/>
        <w:jc w:val="center"/>
        <w:rPr>
          <w:rFonts w:ascii="Arial" w:eastAsia="Times New Roman" w:hAnsi="Arial" w:cs="Arial"/>
          <w:b/>
          <w:bCs/>
          <w:sz w:val="24"/>
          <w:szCs w:val="24"/>
          <w:lang w:eastAsia="ar-SA"/>
        </w:rPr>
      </w:pPr>
      <w:r w:rsidRPr="00C071CA">
        <w:rPr>
          <w:rFonts w:ascii="Arial" w:eastAsia="Times New Roman" w:hAnsi="Arial" w:cs="Arial"/>
          <w:b/>
          <w:bCs/>
          <w:sz w:val="24"/>
          <w:szCs w:val="24"/>
          <w:lang w:eastAsia="ar-SA"/>
        </w:rPr>
        <w:t>by</w:t>
      </w:r>
    </w:p>
    <w:p w14:paraId="4D2936B0" w14:textId="77777777" w:rsidR="00F93926" w:rsidRDefault="00F93926" w:rsidP="00F93926">
      <w:pPr>
        <w:widowControl w:val="0"/>
        <w:pBdr>
          <w:top w:val="double" w:sz="4" w:space="1" w:color="auto"/>
          <w:left w:val="double" w:sz="4" w:space="4" w:color="auto"/>
          <w:bottom w:val="double" w:sz="4" w:space="1" w:color="auto"/>
          <w:right w:val="double" w:sz="4" w:space="4" w:color="auto"/>
        </w:pBdr>
        <w:suppressAutoHyphens/>
        <w:autoSpaceDE w:val="0"/>
        <w:spacing w:before="100" w:beforeAutospacing="1" w:after="100" w:afterAutospacing="1" w:line="240" w:lineRule="auto"/>
        <w:ind w:left="720" w:right="204" w:hanging="720"/>
        <w:jc w:val="center"/>
        <w:rPr>
          <w:rFonts w:ascii="Arial" w:eastAsia="Times New Roman" w:hAnsi="Arial" w:cs="Arial"/>
          <w:b/>
          <w:bCs/>
          <w:sz w:val="24"/>
          <w:szCs w:val="24"/>
          <w:lang w:eastAsia="ar-SA"/>
        </w:rPr>
      </w:pPr>
      <w:bookmarkStart w:id="0" w:name="_Hlk49517842"/>
      <w:r w:rsidRPr="00C071CA">
        <w:rPr>
          <w:rFonts w:ascii="Arial" w:eastAsia="Times New Roman" w:hAnsi="Arial" w:cs="Arial"/>
          <w:b/>
          <w:bCs/>
          <w:sz w:val="24"/>
          <w:szCs w:val="24"/>
          <w:lang w:eastAsia="ar-SA"/>
        </w:rPr>
        <w:t>Professor Lesley King</w:t>
      </w:r>
    </w:p>
    <w:p w14:paraId="4123EBC8" w14:textId="77777777" w:rsidR="00F93926" w:rsidRPr="00C071CA" w:rsidRDefault="00F93926" w:rsidP="00F93926">
      <w:pPr>
        <w:widowControl w:val="0"/>
        <w:pBdr>
          <w:top w:val="double" w:sz="4" w:space="1" w:color="auto"/>
          <w:left w:val="double" w:sz="4" w:space="4" w:color="auto"/>
          <w:bottom w:val="double" w:sz="4" w:space="1" w:color="auto"/>
          <w:right w:val="double" w:sz="4" w:space="4" w:color="auto"/>
        </w:pBdr>
        <w:suppressAutoHyphens/>
        <w:autoSpaceDE w:val="0"/>
        <w:spacing w:before="100" w:beforeAutospacing="1" w:after="100" w:afterAutospacing="1" w:line="240" w:lineRule="auto"/>
        <w:ind w:left="720" w:right="204" w:hanging="720"/>
        <w:jc w:val="center"/>
        <w:rPr>
          <w:rFonts w:ascii="Arial" w:eastAsia="Times New Roman" w:hAnsi="Arial" w:cs="Arial"/>
          <w:b/>
          <w:bCs/>
          <w:sz w:val="24"/>
          <w:szCs w:val="24"/>
          <w:lang w:eastAsia="ar-SA"/>
        </w:rPr>
      </w:pPr>
      <w:r w:rsidRPr="008426CE">
        <w:rPr>
          <w:rFonts w:ascii="Arial" w:eastAsia="Times New Roman" w:hAnsi="Arial" w:cs="Arial"/>
          <w:b/>
          <w:bCs/>
          <w:sz w:val="24"/>
          <w:szCs w:val="24"/>
          <w:lang w:eastAsia="ar-SA"/>
        </w:rPr>
        <w:t>Beckbury Advisory Services</w:t>
      </w:r>
    </w:p>
    <w:p w14:paraId="1A193C70" w14:textId="77777777" w:rsidR="00F93926" w:rsidRDefault="00F93926" w:rsidP="00F93926">
      <w:pPr>
        <w:widowControl w:val="0"/>
        <w:pBdr>
          <w:top w:val="double" w:sz="4" w:space="1" w:color="auto"/>
          <w:left w:val="double" w:sz="4" w:space="4" w:color="auto"/>
          <w:bottom w:val="double" w:sz="4" w:space="1" w:color="auto"/>
          <w:right w:val="double" w:sz="4" w:space="4" w:color="auto"/>
        </w:pBdr>
        <w:suppressAutoHyphens/>
        <w:autoSpaceDE w:val="0"/>
        <w:spacing w:before="100" w:beforeAutospacing="1" w:after="100" w:afterAutospacing="1" w:line="240" w:lineRule="auto"/>
        <w:ind w:left="720" w:right="204" w:hanging="720"/>
        <w:jc w:val="center"/>
        <w:rPr>
          <w:rFonts w:ascii="Arial" w:eastAsia="Times New Roman" w:hAnsi="Arial" w:cs="Arial"/>
          <w:b/>
          <w:color w:val="000000"/>
          <w:sz w:val="24"/>
          <w:szCs w:val="24"/>
          <w:lang w:eastAsia="ar-SA"/>
        </w:rPr>
      </w:pPr>
      <w:r w:rsidRPr="00C071CA">
        <w:rPr>
          <w:rFonts w:ascii="Arial" w:eastAsia="Times New Roman" w:hAnsi="Arial" w:cs="Arial"/>
          <w:b/>
          <w:bCs/>
          <w:sz w:val="24"/>
          <w:szCs w:val="24"/>
          <w:lang w:eastAsia="ar-SA"/>
        </w:rPr>
        <w:t>Email</w:t>
      </w:r>
      <w:r>
        <w:rPr>
          <w:rFonts w:ascii="Arial" w:eastAsia="Times New Roman" w:hAnsi="Arial" w:cs="Arial"/>
          <w:b/>
          <w:bCs/>
          <w:sz w:val="24"/>
          <w:szCs w:val="24"/>
          <w:lang w:eastAsia="ar-SA"/>
        </w:rPr>
        <w:t xml:space="preserve">: </w:t>
      </w:r>
      <w:hyperlink r:id="rId8" w:history="1">
        <w:r w:rsidRPr="002F20AF">
          <w:rPr>
            <w:rStyle w:val="Hyperlink"/>
            <w:rFonts w:ascii="Arial" w:eastAsia="Times New Roman" w:hAnsi="Arial" w:cs="Arial"/>
            <w:b/>
            <w:sz w:val="24"/>
            <w:szCs w:val="24"/>
            <w:lang w:eastAsia="ar-SA"/>
          </w:rPr>
          <w:t>cw@beckbury.org</w:t>
        </w:r>
      </w:hyperlink>
    </w:p>
    <w:p w14:paraId="553053ED" w14:textId="6FFEB5D6" w:rsidR="00F93926" w:rsidRDefault="00D06C02" w:rsidP="00F93926">
      <w:pPr>
        <w:widowControl w:val="0"/>
        <w:pBdr>
          <w:top w:val="double" w:sz="4" w:space="1" w:color="auto"/>
          <w:left w:val="double" w:sz="4" w:space="4" w:color="auto"/>
          <w:bottom w:val="double" w:sz="4" w:space="1" w:color="auto"/>
          <w:right w:val="double" w:sz="4" w:space="4" w:color="auto"/>
        </w:pBdr>
        <w:suppressAutoHyphens/>
        <w:autoSpaceDE w:val="0"/>
        <w:spacing w:before="100" w:beforeAutospacing="1" w:after="100" w:afterAutospacing="1" w:line="240" w:lineRule="auto"/>
        <w:ind w:left="720" w:right="204" w:hanging="720"/>
        <w:jc w:val="center"/>
        <w:rPr>
          <w:rStyle w:val="Hyperlink"/>
          <w:rFonts w:ascii="Arial" w:eastAsia="Times New Roman" w:hAnsi="Arial" w:cs="Arial"/>
          <w:b/>
          <w:sz w:val="24"/>
          <w:szCs w:val="24"/>
          <w:lang w:eastAsia="ar-SA"/>
        </w:rPr>
      </w:pPr>
      <w:hyperlink r:id="rId9" w:history="1">
        <w:r w:rsidR="00F93926" w:rsidRPr="002F20AF">
          <w:rPr>
            <w:rStyle w:val="Hyperlink"/>
            <w:rFonts w:ascii="Arial" w:eastAsia="Times New Roman" w:hAnsi="Arial" w:cs="Arial"/>
            <w:b/>
            <w:sz w:val="24"/>
            <w:szCs w:val="24"/>
            <w:lang w:eastAsia="ar-SA"/>
          </w:rPr>
          <w:t>lesley.king888@gmail.com</w:t>
        </w:r>
      </w:hyperlink>
    </w:p>
    <w:p w14:paraId="1992B6ED" w14:textId="77777777" w:rsidR="003D0434" w:rsidRPr="00C071CA" w:rsidRDefault="003D0434" w:rsidP="00F93926">
      <w:pPr>
        <w:widowControl w:val="0"/>
        <w:pBdr>
          <w:top w:val="double" w:sz="4" w:space="1" w:color="auto"/>
          <w:left w:val="double" w:sz="4" w:space="4" w:color="auto"/>
          <w:bottom w:val="double" w:sz="4" w:space="1" w:color="auto"/>
          <w:right w:val="double" w:sz="4" w:space="4" w:color="auto"/>
        </w:pBdr>
        <w:suppressAutoHyphens/>
        <w:autoSpaceDE w:val="0"/>
        <w:spacing w:before="100" w:beforeAutospacing="1" w:after="100" w:afterAutospacing="1" w:line="240" w:lineRule="auto"/>
        <w:ind w:left="720" w:right="204" w:hanging="720"/>
        <w:jc w:val="center"/>
        <w:rPr>
          <w:rFonts w:ascii="Arial" w:eastAsia="Times New Roman" w:hAnsi="Arial" w:cs="Arial"/>
          <w:b/>
          <w:color w:val="000000"/>
          <w:sz w:val="24"/>
          <w:szCs w:val="24"/>
          <w:lang w:val="en-US" w:eastAsia="ar-SA"/>
        </w:rPr>
      </w:pPr>
    </w:p>
    <w:bookmarkEnd w:id="0"/>
    <w:p w14:paraId="78F8951B" w14:textId="77777777" w:rsidR="00C071CA" w:rsidRDefault="00C071CA" w:rsidP="001B1381">
      <w:pPr>
        <w:spacing w:before="100" w:beforeAutospacing="1" w:after="100" w:afterAutospacing="1" w:line="240" w:lineRule="auto"/>
        <w:rPr>
          <w:rFonts w:ascii="Arial" w:eastAsia="Times New Roman" w:hAnsi="Arial" w:cs="Arial"/>
          <w:b/>
          <w:bCs/>
          <w:color w:val="000000"/>
          <w:sz w:val="24"/>
          <w:szCs w:val="24"/>
          <w:lang w:eastAsia="en-GB"/>
        </w:rPr>
      </w:pPr>
    </w:p>
    <w:p w14:paraId="737D33C0" w14:textId="77777777" w:rsidR="00C071CA" w:rsidRPr="00C071CA" w:rsidRDefault="00C071CA" w:rsidP="001B1381">
      <w:pPr>
        <w:spacing w:before="100" w:beforeAutospacing="1" w:after="100" w:afterAutospacing="1" w:line="240" w:lineRule="auto"/>
        <w:ind w:left="709"/>
        <w:jc w:val="both"/>
        <w:rPr>
          <w:rFonts w:ascii="Arial" w:eastAsia="Times New Roman" w:hAnsi="Arial" w:cs="Arial"/>
          <w:b/>
          <w:bCs/>
          <w:i/>
          <w:sz w:val="24"/>
          <w:szCs w:val="24"/>
          <w:lang w:val="en-US" w:eastAsia="ar-SA"/>
        </w:rPr>
      </w:pPr>
      <w:r w:rsidRPr="00C071CA">
        <w:rPr>
          <w:rFonts w:ascii="Arial" w:eastAsia="Times New Roman" w:hAnsi="Arial" w:cs="Arial"/>
          <w:b/>
          <w:bCs/>
          <w:i/>
          <w:sz w:val="24"/>
          <w:szCs w:val="24"/>
          <w:lang w:val="en-US" w:eastAsia="ar-SA"/>
        </w:rPr>
        <w:t>These notes are intended as an aid to stimulate debate:  delegates must take expert advice before taking or refraining from any action on the basis of these notes and the speaker can accept no responsibility or liability for any action or omission taken by delegates based on the information in these notes or the lectures</w:t>
      </w:r>
    </w:p>
    <w:p w14:paraId="4F45281E" w14:textId="77777777" w:rsidR="003D0434" w:rsidRDefault="003D0434" w:rsidP="001B1381">
      <w:pPr>
        <w:spacing w:before="100" w:beforeAutospacing="1" w:after="100" w:afterAutospacing="1" w:line="240" w:lineRule="auto"/>
        <w:rPr>
          <w:rFonts w:ascii="Arial" w:eastAsia="Times New Roman" w:hAnsi="Arial" w:cs="Arial"/>
          <w:b/>
          <w:bCs/>
          <w:color w:val="000000"/>
          <w:sz w:val="24"/>
          <w:szCs w:val="24"/>
          <w:lang w:eastAsia="en-GB"/>
        </w:rPr>
      </w:pPr>
    </w:p>
    <w:p w14:paraId="375FF0AB" w14:textId="5E5DCB17" w:rsidR="007E1C79" w:rsidRDefault="00A64144" w:rsidP="001B1381">
      <w:pPr>
        <w:spacing w:before="100" w:beforeAutospacing="1" w:after="100" w:afterAutospacing="1"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CONTENTS</w:t>
      </w:r>
    </w:p>
    <w:p w14:paraId="0BD2D6DB" w14:textId="21FDE234" w:rsidR="005D43DF" w:rsidRPr="00BA2B92" w:rsidRDefault="000575C5" w:rsidP="00EC70B6">
      <w:pPr>
        <w:pStyle w:val="ListParagraph"/>
        <w:numPr>
          <w:ilvl w:val="0"/>
          <w:numId w:val="15"/>
        </w:numPr>
        <w:spacing w:before="100" w:beforeAutospacing="1" w:after="100" w:afterAutospacing="1" w:line="480" w:lineRule="auto"/>
        <w:ind w:left="1434" w:hanging="357"/>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VIRTUAL EXECUTION</w:t>
      </w:r>
      <w:r w:rsidR="005D43DF" w:rsidRPr="00BA2B92">
        <w:rPr>
          <w:rFonts w:ascii="Arial" w:eastAsia="Times New Roman" w:hAnsi="Arial" w:cs="Arial"/>
          <w:color w:val="000000" w:themeColor="text1"/>
          <w:sz w:val="24"/>
          <w:szCs w:val="24"/>
          <w:lang w:eastAsia="en-GB"/>
        </w:rPr>
        <w:t xml:space="preserve"> OF WILLS</w:t>
      </w:r>
    </w:p>
    <w:p w14:paraId="65C224D9" w14:textId="49B13070" w:rsidR="00E506F7" w:rsidRDefault="000575C5" w:rsidP="00EC70B6">
      <w:pPr>
        <w:pStyle w:val="ListParagraph"/>
        <w:numPr>
          <w:ilvl w:val="0"/>
          <w:numId w:val="15"/>
        </w:numPr>
        <w:spacing w:before="100" w:beforeAutospacing="1" w:after="100" w:afterAutospacing="1" w:line="480" w:lineRule="auto"/>
        <w:ind w:left="1434" w:hanging="357"/>
        <w:rPr>
          <w:rFonts w:ascii="Arial" w:eastAsia="Times New Roman" w:hAnsi="Arial" w:cs="Arial"/>
          <w:color w:val="000000" w:themeColor="text1"/>
          <w:sz w:val="24"/>
          <w:szCs w:val="24"/>
          <w:lang w:eastAsia="en-GB"/>
        </w:rPr>
      </w:pPr>
      <w:r w:rsidRPr="00BA2B92">
        <w:rPr>
          <w:rFonts w:ascii="Arial" w:eastAsia="Times New Roman" w:hAnsi="Arial" w:cs="Arial"/>
          <w:color w:val="000000" w:themeColor="text1"/>
          <w:sz w:val="24"/>
          <w:szCs w:val="24"/>
          <w:lang w:eastAsia="en-GB"/>
        </w:rPr>
        <w:t xml:space="preserve">PROBATE </w:t>
      </w:r>
      <w:r w:rsidR="00E506F7" w:rsidRPr="00BA2B92">
        <w:rPr>
          <w:rFonts w:ascii="Arial" w:eastAsia="Times New Roman" w:hAnsi="Arial" w:cs="Arial"/>
          <w:color w:val="000000" w:themeColor="text1"/>
          <w:sz w:val="24"/>
          <w:szCs w:val="24"/>
          <w:lang w:eastAsia="en-GB"/>
        </w:rPr>
        <w:t xml:space="preserve">CHANGES </w:t>
      </w:r>
    </w:p>
    <w:p w14:paraId="2D9C1F57" w14:textId="1C53B281" w:rsidR="000575C5" w:rsidRDefault="000575C5" w:rsidP="00EC70B6">
      <w:pPr>
        <w:pStyle w:val="ListParagraph"/>
        <w:numPr>
          <w:ilvl w:val="0"/>
          <w:numId w:val="15"/>
        </w:numPr>
        <w:spacing w:before="100" w:beforeAutospacing="1" w:after="100" w:afterAutospacing="1" w:line="480" w:lineRule="auto"/>
        <w:ind w:left="1434" w:hanging="357"/>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HMRC CHANGES</w:t>
      </w:r>
    </w:p>
    <w:p w14:paraId="41F9652E" w14:textId="77777777" w:rsidR="000575C5" w:rsidRDefault="00E506F7" w:rsidP="00EC70B6">
      <w:pPr>
        <w:pStyle w:val="ListParagraph"/>
        <w:numPr>
          <w:ilvl w:val="0"/>
          <w:numId w:val="15"/>
        </w:numPr>
        <w:spacing w:before="100" w:beforeAutospacing="1" w:after="100" w:afterAutospacing="1" w:line="480" w:lineRule="auto"/>
        <w:ind w:left="1434" w:hanging="357"/>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RE</w:t>
      </w:r>
      <w:r w:rsidR="000575C5">
        <w:rPr>
          <w:rFonts w:ascii="Arial" w:eastAsia="Times New Roman" w:hAnsi="Arial" w:cs="Arial"/>
          <w:color w:val="000000" w:themeColor="text1"/>
          <w:sz w:val="24"/>
          <w:szCs w:val="24"/>
          <w:lang w:eastAsia="en-GB"/>
        </w:rPr>
        <w:t>DUCING RISKS</w:t>
      </w:r>
      <w:r>
        <w:rPr>
          <w:rFonts w:ascii="Arial" w:eastAsia="Times New Roman" w:hAnsi="Arial" w:cs="Arial"/>
          <w:color w:val="000000" w:themeColor="text1"/>
          <w:sz w:val="24"/>
          <w:szCs w:val="24"/>
          <w:lang w:eastAsia="en-GB"/>
        </w:rPr>
        <w:t xml:space="preserve"> </w:t>
      </w:r>
    </w:p>
    <w:p w14:paraId="44076022" w14:textId="77777777" w:rsidR="000575C5" w:rsidRDefault="000575C5" w:rsidP="00EC70B6">
      <w:pPr>
        <w:pStyle w:val="ListParagraph"/>
        <w:numPr>
          <w:ilvl w:val="0"/>
          <w:numId w:val="15"/>
        </w:numPr>
        <w:spacing w:before="100" w:beforeAutospacing="1" w:after="100" w:afterAutospacing="1" w:line="480" w:lineRule="auto"/>
        <w:ind w:left="1434" w:hanging="357"/>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LIMITED EFFECT OF POST-DEATH VARIATIONS</w:t>
      </w:r>
    </w:p>
    <w:p w14:paraId="22486A39" w14:textId="7B0B2775" w:rsidR="000C6B67" w:rsidRPr="00BA2B92" w:rsidRDefault="000575C5" w:rsidP="00EC70B6">
      <w:pPr>
        <w:pStyle w:val="ListParagraph"/>
        <w:numPr>
          <w:ilvl w:val="0"/>
          <w:numId w:val="15"/>
        </w:numPr>
        <w:spacing w:before="100" w:beforeAutospacing="1" w:after="100" w:afterAutospacing="1" w:line="480" w:lineRule="auto"/>
        <w:ind w:left="1434" w:hanging="357"/>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RE</w:t>
      </w:r>
      <w:r w:rsidR="00E506F7">
        <w:rPr>
          <w:rFonts w:ascii="Arial" w:eastAsia="Times New Roman" w:hAnsi="Arial" w:cs="Arial"/>
          <w:color w:val="000000" w:themeColor="text1"/>
          <w:sz w:val="24"/>
          <w:szCs w:val="24"/>
          <w:lang w:eastAsia="en-GB"/>
        </w:rPr>
        <w:t>CE</w:t>
      </w:r>
      <w:r>
        <w:rPr>
          <w:rFonts w:ascii="Arial" w:eastAsia="Times New Roman" w:hAnsi="Arial" w:cs="Arial"/>
          <w:color w:val="000000" w:themeColor="text1"/>
          <w:sz w:val="24"/>
          <w:szCs w:val="24"/>
          <w:lang w:eastAsia="en-GB"/>
        </w:rPr>
        <w:t>NT DECISION</w:t>
      </w:r>
      <w:r w:rsidR="00E506F7">
        <w:rPr>
          <w:rFonts w:ascii="Arial" w:eastAsia="Times New Roman" w:hAnsi="Arial" w:cs="Arial"/>
          <w:color w:val="000000" w:themeColor="text1"/>
          <w:sz w:val="24"/>
          <w:szCs w:val="24"/>
          <w:lang w:eastAsia="en-GB"/>
        </w:rPr>
        <w:t>S</w:t>
      </w:r>
      <w:r>
        <w:rPr>
          <w:rFonts w:ascii="Arial" w:eastAsia="Times New Roman" w:hAnsi="Arial" w:cs="Arial"/>
          <w:color w:val="000000" w:themeColor="text1"/>
          <w:sz w:val="24"/>
          <w:szCs w:val="24"/>
          <w:lang w:eastAsia="en-GB"/>
        </w:rPr>
        <w:t xml:space="preserve"> UNDER I(PFD)A 1975</w:t>
      </w:r>
      <w:r w:rsidR="00E506F7">
        <w:rPr>
          <w:rFonts w:ascii="Arial" w:eastAsia="Times New Roman" w:hAnsi="Arial" w:cs="Arial"/>
          <w:color w:val="000000" w:themeColor="text1"/>
          <w:sz w:val="24"/>
          <w:szCs w:val="24"/>
          <w:lang w:eastAsia="en-GB"/>
        </w:rPr>
        <w:t xml:space="preserve"> </w:t>
      </w:r>
    </w:p>
    <w:p w14:paraId="5234A870" w14:textId="2CD6C855" w:rsidR="000C6B67" w:rsidRPr="00BA2B92" w:rsidRDefault="000575C5" w:rsidP="00EC70B6">
      <w:pPr>
        <w:pStyle w:val="ListParagraph"/>
        <w:numPr>
          <w:ilvl w:val="0"/>
          <w:numId w:val="15"/>
        </w:numPr>
        <w:spacing w:before="100" w:beforeAutospacing="1" w:after="100" w:afterAutospacing="1" w:line="480" w:lineRule="auto"/>
        <w:ind w:left="1434" w:hanging="357"/>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GDPR AND PRs</w:t>
      </w:r>
    </w:p>
    <w:p w14:paraId="0E169BFC" w14:textId="77777777" w:rsidR="00F35C9D" w:rsidRDefault="00F35C9D" w:rsidP="00F35C9D">
      <w:pPr>
        <w:spacing w:before="100" w:beforeAutospacing="1" w:after="100" w:afterAutospacing="1"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Objectives</w:t>
      </w:r>
    </w:p>
    <w:p w14:paraId="146ACF2B" w14:textId="77777777" w:rsidR="00F35C9D" w:rsidRDefault="00F35C9D" w:rsidP="00F35C9D">
      <w:pPr>
        <w:spacing w:before="100" w:beforeAutospacing="1" w:after="100" w:afterAutospacing="1" w:line="240" w:lineRule="auto"/>
        <w:rPr>
          <w:rFonts w:ascii="Arial" w:eastAsia="Times New Roman" w:hAnsi="Arial" w:cs="Arial"/>
          <w:bCs/>
          <w:color w:val="000000"/>
          <w:sz w:val="24"/>
          <w:szCs w:val="24"/>
          <w:lang w:eastAsia="en-GB"/>
        </w:rPr>
      </w:pPr>
      <w:r w:rsidRPr="00FD67E6">
        <w:rPr>
          <w:rFonts w:ascii="Arial" w:eastAsia="Times New Roman" w:hAnsi="Arial" w:cs="Arial"/>
          <w:bCs/>
          <w:color w:val="000000"/>
          <w:sz w:val="24"/>
          <w:szCs w:val="24"/>
          <w:lang w:eastAsia="en-GB"/>
        </w:rPr>
        <w:t>After this session you will</w:t>
      </w:r>
      <w:r>
        <w:rPr>
          <w:rFonts w:ascii="Arial" w:eastAsia="Times New Roman" w:hAnsi="Arial" w:cs="Arial"/>
          <w:bCs/>
          <w:color w:val="000000"/>
          <w:sz w:val="24"/>
          <w:szCs w:val="24"/>
          <w:lang w:eastAsia="en-GB"/>
        </w:rPr>
        <w:t xml:space="preserve"> be:</w:t>
      </w:r>
    </w:p>
    <w:p w14:paraId="609A5612" w14:textId="77777777" w:rsidR="00F35C9D" w:rsidRPr="00FD67E6" w:rsidRDefault="00F35C9D" w:rsidP="00EC70B6">
      <w:pPr>
        <w:pStyle w:val="ListParagraph"/>
        <w:numPr>
          <w:ilvl w:val="0"/>
          <w:numId w:val="1"/>
        </w:numPr>
        <w:spacing w:before="100" w:beforeAutospacing="1" w:after="100" w:afterAutospacing="1" w:line="240" w:lineRule="auto"/>
        <w:rPr>
          <w:rFonts w:ascii="Arial" w:eastAsia="Times New Roman" w:hAnsi="Arial" w:cs="Arial"/>
          <w:bCs/>
          <w:color w:val="000000"/>
          <w:sz w:val="24"/>
          <w:szCs w:val="24"/>
          <w:lang w:eastAsia="en-GB"/>
        </w:rPr>
      </w:pPr>
      <w:r w:rsidRPr="00FD67E6">
        <w:rPr>
          <w:rFonts w:ascii="Arial" w:eastAsia="Times New Roman" w:hAnsi="Arial" w:cs="Arial"/>
          <w:bCs/>
          <w:color w:val="000000"/>
          <w:sz w:val="24"/>
          <w:szCs w:val="24"/>
          <w:lang w:eastAsia="en-GB"/>
        </w:rPr>
        <w:t>aware of recent developments affecting private client practitioners;</w:t>
      </w:r>
    </w:p>
    <w:p w14:paraId="1BE4EC40" w14:textId="77777777" w:rsidR="00F35C9D" w:rsidRDefault="00F35C9D" w:rsidP="00EC70B6">
      <w:pPr>
        <w:pStyle w:val="ListParagraph"/>
        <w:numPr>
          <w:ilvl w:val="0"/>
          <w:numId w:val="1"/>
        </w:numPr>
        <w:spacing w:before="100" w:beforeAutospacing="1" w:after="100" w:afterAutospacing="1"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a</w:t>
      </w:r>
      <w:r w:rsidRPr="00FD67E6">
        <w:rPr>
          <w:rFonts w:ascii="Arial" w:eastAsia="Times New Roman" w:hAnsi="Arial" w:cs="Arial"/>
          <w:bCs/>
          <w:color w:val="000000"/>
          <w:sz w:val="24"/>
          <w:szCs w:val="24"/>
          <w:lang w:eastAsia="en-GB"/>
        </w:rPr>
        <w:t>ble to adapt your office practice and procedures where necessary</w:t>
      </w:r>
      <w:r>
        <w:rPr>
          <w:rFonts w:ascii="Arial" w:eastAsia="Times New Roman" w:hAnsi="Arial" w:cs="Arial"/>
          <w:bCs/>
          <w:color w:val="000000"/>
          <w:sz w:val="24"/>
          <w:szCs w:val="24"/>
          <w:lang w:eastAsia="en-GB"/>
        </w:rPr>
        <w:t>.</w:t>
      </w:r>
    </w:p>
    <w:p w14:paraId="495F8280" w14:textId="3A1F6A06" w:rsidR="005D43DF" w:rsidRPr="009D1B53" w:rsidRDefault="005D43DF" w:rsidP="000575C5">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Calibri" w:hAnsi="Arial" w:cs="Arial"/>
          <w:b/>
          <w:bCs/>
          <w:sz w:val="24"/>
          <w:szCs w:val="24"/>
          <w:lang w:val="en-US"/>
        </w:rPr>
      </w:pPr>
      <w:r>
        <w:rPr>
          <w:rFonts w:ascii="Arial" w:eastAsia="Times New Roman" w:hAnsi="Arial" w:cs="Arial"/>
          <w:b/>
          <w:sz w:val="24"/>
          <w:szCs w:val="24"/>
          <w:lang w:eastAsia="ar-SA"/>
        </w:rPr>
        <w:lastRenderedPageBreak/>
        <w:t>I.</w:t>
      </w:r>
      <w:r>
        <w:rPr>
          <w:rFonts w:ascii="Arial" w:eastAsia="Times New Roman" w:hAnsi="Arial" w:cs="Arial"/>
          <w:b/>
          <w:sz w:val="24"/>
          <w:szCs w:val="24"/>
          <w:lang w:eastAsia="ar-SA"/>
        </w:rPr>
        <w:tab/>
      </w:r>
      <w:r w:rsidRPr="009D1B53">
        <w:rPr>
          <w:rFonts w:ascii="Arial" w:eastAsia="Calibri" w:hAnsi="Arial" w:cs="Arial"/>
          <w:b/>
          <w:bCs/>
          <w:sz w:val="24"/>
          <w:szCs w:val="24"/>
          <w:lang w:val="en-US"/>
        </w:rPr>
        <w:t xml:space="preserve">VIRTUAL </w:t>
      </w:r>
      <w:r w:rsidR="000575C5">
        <w:rPr>
          <w:rFonts w:ascii="Arial" w:eastAsia="Calibri" w:hAnsi="Arial" w:cs="Arial"/>
          <w:b/>
          <w:bCs/>
          <w:sz w:val="24"/>
          <w:szCs w:val="24"/>
          <w:lang w:val="en-US"/>
        </w:rPr>
        <w:t>EXECUTION</w:t>
      </w:r>
      <w:r w:rsidRPr="009D1B53">
        <w:rPr>
          <w:rFonts w:ascii="Arial" w:eastAsia="Calibri" w:hAnsi="Arial" w:cs="Arial"/>
          <w:b/>
          <w:bCs/>
          <w:sz w:val="24"/>
          <w:szCs w:val="24"/>
          <w:lang w:val="en-US"/>
        </w:rPr>
        <w:t xml:space="preserve"> OF WILLS</w:t>
      </w:r>
    </w:p>
    <w:p w14:paraId="701E35C0" w14:textId="77777777" w:rsidR="005D43DF" w:rsidRPr="005445C9" w:rsidRDefault="005D43DF" w:rsidP="005D43DF">
      <w:pPr>
        <w:spacing w:before="100" w:beforeAutospacing="1" w:after="100" w:afterAutospacing="1" w:line="240" w:lineRule="auto"/>
        <w:jc w:val="both"/>
        <w:rPr>
          <w:rFonts w:ascii="Arial" w:eastAsia="Calibri" w:hAnsi="Arial" w:cs="Arial"/>
          <w:sz w:val="24"/>
          <w:szCs w:val="24"/>
          <w:lang w:val="en-US"/>
        </w:rPr>
      </w:pPr>
      <w:bookmarkStart w:id="1" w:name="_Hlk53476569"/>
      <w:r w:rsidRPr="005445C9">
        <w:rPr>
          <w:rFonts w:ascii="Arial" w:eastAsia="Calibri" w:hAnsi="Arial" w:cs="Arial"/>
          <w:sz w:val="24"/>
          <w:szCs w:val="24"/>
          <w:lang w:val="en-US"/>
        </w:rPr>
        <w:t xml:space="preserve">The Wills Act </w:t>
      </w:r>
      <w:bookmarkEnd w:id="1"/>
      <w:r w:rsidRPr="005445C9">
        <w:rPr>
          <w:rFonts w:ascii="Arial" w:eastAsia="Calibri" w:hAnsi="Arial" w:cs="Arial"/>
          <w:sz w:val="24"/>
          <w:szCs w:val="24"/>
          <w:lang w:val="en-US"/>
        </w:rPr>
        <w:t xml:space="preserve">1837 (Electronic Communications) (Amendment) (Coronavirus) Order 2020 </w:t>
      </w:r>
      <w:r>
        <w:rPr>
          <w:rFonts w:ascii="Arial" w:eastAsia="Calibri" w:hAnsi="Arial" w:cs="Arial"/>
          <w:sz w:val="24"/>
          <w:szCs w:val="24"/>
          <w:lang w:val="en-US"/>
        </w:rPr>
        <w:t xml:space="preserve">(2020/952) </w:t>
      </w:r>
      <w:r w:rsidRPr="005445C9">
        <w:rPr>
          <w:rFonts w:ascii="Arial" w:eastAsia="Calibri" w:hAnsi="Arial" w:cs="Arial"/>
          <w:sz w:val="24"/>
          <w:szCs w:val="24"/>
          <w:lang w:val="en-US"/>
        </w:rPr>
        <w:t>was laid before parliament on 7 September 2020 and c</w:t>
      </w:r>
      <w:r>
        <w:rPr>
          <w:rFonts w:ascii="Arial" w:eastAsia="Calibri" w:hAnsi="Arial" w:cs="Arial"/>
          <w:sz w:val="24"/>
          <w:szCs w:val="24"/>
          <w:lang w:val="en-US"/>
        </w:rPr>
        <w:t>a</w:t>
      </w:r>
      <w:r w:rsidRPr="005445C9">
        <w:rPr>
          <w:rFonts w:ascii="Arial" w:eastAsia="Calibri" w:hAnsi="Arial" w:cs="Arial"/>
          <w:sz w:val="24"/>
          <w:szCs w:val="24"/>
          <w:lang w:val="en-US"/>
        </w:rPr>
        <w:t xml:space="preserve">me into force </w:t>
      </w:r>
      <w:r>
        <w:rPr>
          <w:rFonts w:ascii="Arial" w:eastAsia="Calibri" w:hAnsi="Arial" w:cs="Arial"/>
          <w:sz w:val="24"/>
          <w:szCs w:val="24"/>
          <w:lang w:val="en-US"/>
        </w:rPr>
        <w:t xml:space="preserve">on </w:t>
      </w:r>
      <w:r w:rsidRPr="005445C9">
        <w:rPr>
          <w:rFonts w:ascii="Arial" w:eastAsia="Calibri" w:hAnsi="Arial" w:cs="Arial"/>
          <w:sz w:val="24"/>
          <w:szCs w:val="24"/>
          <w:lang w:val="en-US"/>
        </w:rPr>
        <w:t>28 September. It is very short.</w:t>
      </w:r>
    </w:p>
    <w:p w14:paraId="5200EB01" w14:textId="77777777" w:rsidR="005D43DF" w:rsidRPr="005445C9" w:rsidRDefault="005D43DF" w:rsidP="005D43DF">
      <w:pPr>
        <w:spacing w:before="100" w:beforeAutospacing="1" w:after="100" w:afterAutospacing="1" w:line="240" w:lineRule="auto"/>
        <w:jc w:val="both"/>
        <w:rPr>
          <w:rFonts w:ascii="Arial" w:eastAsia="Calibri" w:hAnsi="Arial" w:cs="Arial"/>
          <w:sz w:val="24"/>
          <w:szCs w:val="24"/>
          <w:lang w:val="en-US"/>
        </w:rPr>
      </w:pPr>
      <w:r w:rsidRPr="005445C9">
        <w:rPr>
          <w:rFonts w:ascii="Arial" w:eastAsia="Calibri" w:hAnsi="Arial" w:cs="Arial"/>
          <w:sz w:val="24"/>
          <w:szCs w:val="24"/>
          <w:lang w:val="en-US"/>
        </w:rPr>
        <w:t xml:space="preserve">It adds the following to section 9(b) of the Wills Act: </w:t>
      </w:r>
    </w:p>
    <w:p w14:paraId="084460B4" w14:textId="77777777" w:rsidR="005D43DF" w:rsidRPr="005445C9" w:rsidRDefault="005D43DF" w:rsidP="005D43DF">
      <w:pPr>
        <w:spacing w:before="100" w:beforeAutospacing="1" w:after="100" w:afterAutospacing="1" w:line="240" w:lineRule="auto"/>
        <w:ind w:left="720"/>
        <w:jc w:val="both"/>
        <w:rPr>
          <w:rFonts w:ascii="Arial" w:eastAsia="Calibri" w:hAnsi="Arial" w:cs="Arial"/>
          <w:sz w:val="24"/>
          <w:szCs w:val="24"/>
          <w:lang w:val="en-US"/>
        </w:rPr>
      </w:pPr>
      <w:r w:rsidRPr="005445C9">
        <w:rPr>
          <w:rFonts w:ascii="Arial" w:eastAsia="Calibri" w:hAnsi="Arial" w:cs="Arial"/>
          <w:i/>
          <w:iCs/>
          <w:sz w:val="24"/>
          <w:szCs w:val="24"/>
          <w:lang w:val="en-US"/>
        </w:rPr>
        <w:t>“For the purposes of paragraphs (c) and (d) of subsection (1), in relation to wills made on or after 31 January 2020 and on or before 31 January 2022, ‘presence’ includes presence by means of videoconference or other visual transmission</w:t>
      </w:r>
      <w:r w:rsidRPr="005445C9">
        <w:rPr>
          <w:rFonts w:ascii="Arial" w:eastAsia="Calibri" w:hAnsi="Arial" w:cs="Arial"/>
          <w:sz w:val="24"/>
          <w:szCs w:val="24"/>
          <w:lang w:val="en-US"/>
        </w:rPr>
        <w:t>.”</w:t>
      </w:r>
    </w:p>
    <w:p w14:paraId="423E9CFA" w14:textId="77777777" w:rsidR="005D43DF" w:rsidRDefault="005D43DF" w:rsidP="005D43DF">
      <w:pPr>
        <w:spacing w:before="100" w:beforeAutospacing="1" w:after="100" w:afterAutospacing="1" w:line="240" w:lineRule="auto"/>
        <w:jc w:val="both"/>
        <w:rPr>
          <w:rFonts w:ascii="Arial" w:eastAsia="Calibri" w:hAnsi="Arial" w:cs="Arial"/>
          <w:sz w:val="24"/>
          <w:szCs w:val="24"/>
          <w:lang w:val="en-US"/>
        </w:rPr>
      </w:pPr>
      <w:r w:rsidRPr="00647C09">
        <w:rPr>
          <w:rFonts w:ascii="Arial" w:eastAsia="Calibri" w:hAnsi="Arial" w:cs="Arial"/>
          <w:sz w:val="24"/>
          <w:szCs w:val="24"/>
          <w:lang w:val="en-US"/>
        </w:rPr>
        <w:t xml:space="preserve">The only other provision is an exclusion providing that the Order does not affect any grant of </w:t>
      </w:r>
      <w:r w:rsidRPr="00E91492">
        <w:rPr>
          <w:rFonts w:ascii="Arial" w:eastAsia="Calibri" w:hAnsi="Arial" w:cs="Arial"/>
          <w:b/>
          <w:bCs/>
          <w:i/>
          <w:iCs/>
          <w:sz w:val="24"/>
          <w:szCs w:val="24"/>
          <w:lang w:val="en-US"/>
        </w:rPr>
        <w:t>probate</w:t>
      </w:r>
      <w:r w:rsidRPr="00647C09">
        <w:rPr>
          <w:rFonts w:ascii="Arial" w:eastAsia="Calibri" w:hAnsi="Arial" w:cs="Arial"/>
          <w:sz w:val="24"/>
          <w:szCs w:val="24"/>
          <w:lang w:val="en-US"/>
        </w:rPr>
        <w:t xml:space="preserve"> or anything done pursuant to a grant of probate prior to </w:t>
      </w:r>
      <w:r>
        <w:rPr>
          <w:rFonts w:ascii="Arial" w:eastAsia="Calibri" w:hAnsi="Arial" w:cs="Arial"/>
          <w:sz w:val="24"/>
          <w:szCs w:val="24"/>
          <w:lang w:val="en-US"/>
        </w:rPr>
        <w:t>the SI</w:t>
      </w:r>
      <w:r w:rsidRPr="00647C09">
        <w:rPr>
          <w:rFonts w:ascii="Arial" w:eastAsia="Calibri" w:hAnsi="Arial" w:cs="Arial"/>
          <w:sz w:val="24"/>
          <w:szCs w:val="24"/>
          <w:lang w:val="en-US"/>
        </w:rPr>
        <w:t xml:space="preserve"> coming into force. </w:t>
      </w:r>
    </w:p>
    <w:p w14:paraId="7718F683" w14:textId="77777777" w:rsidR="005D43DF" w:rsidRPr="002625B0" w:rsidRDefault="005D43DF" w:rsidP="005D43DF">
      <w:pPr>
        <w:spacing w:before="100" w:beforeAutospacing="1" w:after="120" w:line="240" w:lineRule="auto"/>
        <w:ind w:left="720"/>
        <w:jc w:val="both"/>
        <w:rPr>
          <w:rFonts w:ascii="Arial" w:eastAsia="Calibri" w:hAnsi="Arial" w:cs="Arial"/>
          <w:b/>
          <w:bCs/>
          <w:sz w:val="24"/>
          <w:szCs w:val="24"/>
          <w:lang w:val="en-US"/>
        </w:rPr>
      </w:pPr>
      <w:r w:rsidRPr="002625B0">
        <w:rPr>
          <w:rFonts w:ascii="Arial" w:eastAsia="Calibri" w:hAnsi="Arial" w:cs="Arial"/>
          <w:b/>
          <w:bCs/>
          <w:sz w:val="24"/>
          <w:szCs w:val="24"/>
          <w:lang w:val="en-US"/>
        </w:rPr>
        <w:t>Example</w:t>
      </w:r>
    </w:p>
    <w:p w14:paraId="13B5FBAD" w14:textId="77777777" w:rsidR="005D43DF" w:rsidRDefault="005D43DF" w:rsidP="005D43DF">
      <w:pPr>
        <w:spacing w:before="120" w:after="100" w:afterAutospacing="1" w:line="240" w:lineRule="auto"/>
        <w:ind w:left="720"/>
        <w:jc w:val="both"/>
        <w:rPr>
          <w:rFonts w:ascii="Arial" w:eastAsia="Calibri" w:hAnsi="Arial" w:cs="Arial"/>
          <w:sz w:val="24"/>
          <w:szCs w:val="24"/>
          <w:lang w:val="en-US"/>
        </w:rPr>
      </w:pPr>
      <w:r>
        <w:rPr>
          <w:rFonts w:ascii="Arial" w:eastAsia="Calibri" w:hAnsi="Arial" w:cs="Arial"/>
          <w:sz w:val="24"/>
          <w:szCs w:val="24"/>
          <w:lang w:val="en-US"/>
        </w:rPr>
        <w:t xml:space="preserve">Tom makes a conventionally witnessed will in 2015. </w:t>
      </w:r>
    </w:p>
    <w:p w14:paraId="4784C788" w14:textId="77777777" w:rsidR="005D43DF" w:rsidRDefault="005D43DF" w:rsidP="005D43DF">
      <w:pPr>
        <w:spacing w:before="120" w:after="100" w:afterAutospacing="1" w:line="240" w:lineRule="auto"/>
        <w:ind w:left="720"/>
        <w:jc w:val="both"/>
        <w:rPr>
          <w:rFonts w:ascii="Arial" w:eastAsia="Calibri" w:hAnsi="Arial" w:cs="Arial"/>
          <w:sz w:val="24"/>
          <w:szCs w:val="24"/>
          <w:lang w:val="en-US"/>
        </w:rPr>
      </w:pPr>
      <w:r>
        <w:rPr>
          <w:rFonts w:ascii="Arial" w:eastAsia="Calibri" w:hAnsi="Arial" w:cs="Arial"/>
          <w:sz w:val="24"/>
          <w:szCs w:val="24"/>
          <w:lang w:val="en-US"/>
        </w:rPr>
        <w:t xml:space="preserve">On 1 February 2020 he makes a will which is witnessed remotely and complies with the requirements of the later SI. </w:t>
      </w:r>
    </w:p>
    <w:p w14:paraId="4BE78246" w14:textId="77777777" w:rsidR="005D43DF" w:rsidRDefault="005D43DF" w:rsidP="005D43DF">
      <w:pPr>
        <w:spacing w:before="100" w:beforeAutospacing="1" w:after="100" w:afterAutospacing="1" w:line="240" w:lineRule="auto"/>
        <w:ind w:left="720"/>
        <w:jc w:val="both"/>
        <w:rPr>
          <w:rFonts w:ascii="Arial" w:eastAsia="Calibri" w:hAnsi="Arial" w:cs="Arial"/>
          <w:sz w:val="24"/>
          <w:szCs w:val="24"/>
          <w:lang w:val="en-US"/>
        </w:rPr>
      </w:pPr>
      <w:r>
        <w:rPr>
          <w:rFonts w:ascii="Arial" w:eastAsia="Calibri" w:hAnsi="Arial" w:cs="Arial"/>
          <w:sz w:val="24"/>
          <w:szCs w:val="24"/>
          <w:lang w:val="en-US"/>
        </w:rPr>
        <w:t>Tom dies on 1 April 2020. Everyone believes that the remotely witnessed will is invalid so the executor of the 2015 will obtains a grant of probate on 30 June 2020.</w:t>
      </w:r>
    </w:p>
    <w:p w14:paraId="0B7D976B" w14:textId="77777777" w:rsidR="005D43DF" w:rsidRDefault="005D43DF" w:rsidP="005D43DF">
      <w:pPr>
        <w:spacing w:before="100" w:beforeAutospacing="1" w:after="100" w:afterAutospacing="1" w:line="240" w:lineRule="auto"/>
        <w:ind w:left="720"/>
        <w:jc w:val="both"/>
        <w:rPr>
          <w:rFonts w:ascii="Arial" w:eastAsia="Calibri" w:hAnsi="Arial" w:cs="Arial"/>
          <w:sz w:val="24"/>
          <w:szCs w:val="24"/>
          <w:lang w:val="en-US"/>
        </w:rPr>
      </w:pPr>
      <w:r>
        <w:rPr>
          <w:rFonts w:ascii="Arial" w:eastAsia="Calibri" w:hAnsi="Arial" w:cs="Arial"/>
          <w:sz w:val="24"/>
          <w:szCs w:val="24"/>
          <w:lang w:val="en-US"/>
        </w:rPr>
        <w:t xml:space="preserve">In July the government announces that wills witnessed remotely are valid. </w:t>
      </w:r>
    </w:p>
    <w:p w14:paraId="6C268B22" w14:textId="77777777" w:rsidR="005D43DF" w:rsidRPr="00647C09" w:rsidRDefault="005D43DF" w:rsidP="005D43DF">
      <w:pPr>
        <w:spacing w:before="100" w:beforeAutospacing="1" w:after="100" w:afterAutospacing="1" w:line="240" w:lineRule="auto"/>
        <w:ind w:left="720"/>
        <w:jc w:val="both"/>
        <w:rPr>
          <w:rFonts w:ascii="Arial" w:eastAsia="Calibri" w:hAnsi="Arial" w:cs="Arial"/>
          <w:sz w:val="24"/>
          <w:szCs w:val="24"/>
          <w:lang w:val="en-US"/>
        </w:rPr>
      </w:pPr>
      <w:r>
        <w:rPr>
          <w:rFonts w:ascii="Arial" w:eastAsia="Calibri" w:hAnsi="Arial" w:cs="Arial"/>
          <w:sz w:val="24"/>
          <w:szCs w:val="24"/>
          <w:lang w:val="en-US"/>
        </w:rPr>
        <w:t>The SI does not allow the remotely witnessed will to be proved because a grant of probate was obtained before 28 September 2020.</w:t>
      </w:r>
    </w:p>
    <w:p w14:paraId="1DB47816" w14:textId="77777777" w:rsidR="005D43DF" w:rsidRDefault="005D43DF" w:rsidP="005D43DF">
      <w:pPr>
        <w:spacing w:before="100" w:beforeAutospacing="1" w:after="100" w:afterAutospacing="1" w:line="240" w:lineRule="auto"/>
        <w:jc w:val="both"/>
        <w:rPr>
          <w:rFonts w:ascii="Arial" w:eastAsia="Calibri" w:hAnsi="Arial" w:cs="Arial"/>
          <w:sz w:val="24"/>
          <w:szCs w:val="24"/>
          <w:lang w:val="en-US"/>
        </w:rPr>
      </w:pPr>
      <w:r w:rsidRPr="00647C09">
        <w:rPr>
          <w:rFonts w:ascii="Arial" w:eastAsia="Calibri" w:hAnsi="Arial" w:cs="Arial"/>
          <w:sz w:val="24"/>
          <w:szCs w:val="24"/>
          <w:lang w:val="en-US"/>
        </w:rPr>
        <w:t>The reference to a grant of ‘</w:t>
      </w:r>
      <w:r w:rsidRPr="00D94AF9">
        <w:rPr>
          <w:rFonts w:ascii="Arial" w:eastAsia="Calibri" w:hAnsi="Arial" w:cs="Arial"/>
          <w:i/>
          <w:iCs/>
          <w:sz w:val="24"/>
          <w:szCs w:val="24"/>
          <w:lang w:val="en-US"/>
        </w:rPr>
        <w:t>probate</w:t>
      </w:r>
      <w:r w:rsidRPr="00647C09">
        <w:rPr>
          <w:rFonts w:ascii="Arial" w:eastAsia="Calibri" w:hAnsi="Arial" w:cs="Arial"/>
          <w:sz w:val="24"/>
          <w:szCs w:val="24"/>
          <w:lang w:val="en-US"/>
        </w:rPr>
        <w:t xml:space="preserve">’ is a little odd. </w:t>
      </w:r>
      <w:r>
        <w:rPr>
          <w:rFonts w:ascii="Arial" w:eastAsia="Calibri" w:hAnsi="Arial" w:cs="Arial"/>
          <w:sz w:val="24"/>
          <w:szCs w:val="24"/>
          <w:lang w:val="en-US"/>
        </w:rPr>
        <w:t>The policy decision was apparently that a grant of administration on intestacy is to be overturned by a valid video witnessed will. But what about a grant of administration with will annexed?</w:t>
      </w:r>
    </w:p>
    <w:p w14:paraId="2F6FAAA7" w14:textId="77777777" w:rsidR="005D43DF" w:rsidRDefault="005D43DF" w:rsidP="005D43DF">
      <w:pPr>
        <w:spacing w:before="100" w:beforeAutospacing="1" w:after="100" w:afterAutospacing="1" w:line="240" w:lineRule="auto"/>
        <w:jc w:val="both"/>
        <w:rPr>
          <w:rFonts w:ascii="Arial" w:eastAsia="Calibri" w:hAnsi="Arial" w:cs="Arial"/>
          <w:sz w:val="24"/>
          <w:szCs w:val="24"/>
          <w:lang w:val="en-US"/>
        </w:rPr>
      </w:pPr>
      <w:r w:rsidRPr="00647C09">
        <w:rPr>
          <w:rFonts w:ascii="Arial" w:eastAsia="Calibri" w:hAnsi="Arial" w:cs="Arial"/>
          <w:sz w:val="24"/>
          <w:szCs w:val="24"/>
          <w:lang w:val="en-US"/>
        </w:rPr>
        <w:t>Taken literally</w:t>
      </w:r>
      <w:r>
        <w:rPr>
          <w:rFonts w:ascii="Arial" w:eastAsia="Calibri" w:hAnsi="Arial" w:cs="Arial"/>
          <w:sz w:val="24"/>
          <w:szCs w:val="24"/>
          <w:lang w:val="en-US"/>
        </w:rPr>
        <w:t xml:space="preserve">, only grants of </w:t>
      </w:r>
      <w:r w:rsidRPr="00FE50AE">
        <w:rPr>
          <w:rFonts w:ascii="Arial" w:eastAsia="Calibri" w:hAnsi="Arial" w:cs="Arial"/>
          <w:i/>
          <w:iCs/>
          <w:sz w:val="24"/>
          <w:szCs w:val="24"/>
          <w:lang w:val="en-US"/>
        </w:rPr>
        <w:t>probate</w:t>
      </w:r>
      <w:r>
        <w:rPr>
          <w:rFonts w:ascii="Arial" w:eastAsia="Calibri" w:hAnsi="Arial" w:cs="Arial"/>
          <w:sz w:val="24"/>
          <w:szCs w:val="24"/>
          <w:lang w:val="en-US"/>
        </w:rPr>
        <w:t xml:space="preserve"> are unaffected by a later remotely witnessed will. </w:t>
      </w:r>
      <w:r w:rsidRPr="00647C09">
        <w:rPr>
          <w:rFonts w:ascii="Arial" w:eastAsia="Calibri" w:hAnsi="Arial" w:cs="Arial"/>
          <w:sz w:val="24"/>
          <w:szCs w:val="24"/>
          <w:lang w:val="en-US"/>
        </w:rPr>
        <w:t xml:space="preserve"> </w:t>
      </w:r>
      <w:r>
        <w:rPr>
          <w:rFonts w:ascii="Arial" w:eastAsia="Calibri" w:hAnsi="Arial" w:cs="Arial"/>
          <w:sz w:val="24"/>
          <w:szCs w:val="24"/>
          <w:lang w:val="en-US"/>
        </w:rPr>
        <w:t>So, in the example above, if there was no executor appointed (or no executor able and willing to take the grant), a grant of letters of administration with will would have been obtained and apparently that grant would be overturned by the remotely witnessed will.</w:t>
      </w:r>
    </w:p>
    <w:p w14:paraId="69F28728" w14:textId="77777777" w:rsidR="005D43DF" w:rsidRDefault="005D43DF" w:rsidP="005D43DF">
      <w:pPr>
        <w:spacing w:before="100" w:beforeAutospacing="1" w:after="100" w:afterAutospacing="1" w:line="240" w:lineRule="auto"/>
        <w:jc w:val="both"/>
        <w:rPr>
          <w:rFonts w:ascii="Arial" w:eastAsia="Calibri" w:hAnsi="Arial" w:cs="Arial"/>
          <w:sz w:val="24"/>
          <w:szCs w:val="24"/>
          <w:lang w:val="en-US"/>
        </w:rPr>
      </w:pPr>
      <w:r>
        <w:rPr>
          <w:rFonts w:ascii="Arial" w:eastAsia="Calibri" w:hAnsi="Arial" w:cs="Arial"/>
          <w:sz w:val="24"/>
          <w:szCs w:val="24"/>
          <w:lang w:val="en-US"/>
        </w:rPr>
        <w:t>This seems illogical and the reference to grants of ‘</w:t>
      </w:r>
      <w:r w:rsidRPr="002625B0">
        <w:rPr>
          <w:rFonts w:ascii="Arial" w:eastAsia="Calibri" w:hAnsi="Arial" w:cs="Arial"/>
          <w:i/>
          <w:iCs/>
          <w:sz w:val="24"/>
          <w:szCs w:val="24"/>
          <w:lang w:val="en-US"/>
        </w:rPr>
        <w:t>probate</w:t>
      </w:r>
      <w:r>
        <w:rPr>
          <w:rFonts w:ascii="Arial" w:eastAsia="Calibri" w:hAnsi="Arial" w:cs="Arial"/>
          <w:sz w:val="24"/>
          <w:szCs w:val="24"/>
          <w:lang w:val="en-US"/>
        </w:rPr>
        <w:t xml:space="preserve">’ </w:t>
      </w:r>
      <w:r w:rsidRPr="00647C09">
        <w:rPr>
          <w:rFonts w:ascii="Arial" w:eastAsia="Calibri" w:hAnsi="Arial" w:cs="Arial"/>
          <w:sz w:val="24"/>
          <w:szCs w:val="24"/>
          <w:lang w:val="en-US"/>
        </w:rPr>
        <w:t>may be an error</w:t>
      </w:r>
      <w:r>
        <w:rPr>
          <w:rFonts w:ascii="Arial" w:eastAsia="Calibri" w:hAnsi="Arial" w:cs="Arial"/>
          <w:sz w:val="24"/>
          <w:szCs w:val="24"/>
          <w:lang w:val="en-US"/>
        </w:rPr>
        <w:t>.</w:t>
      </w:r>
    </w:p>
    <w:p w14:paraId="1837F61B" w14:textId="77777777" w:rsidR="005D43DF" w:rsidRPr="005445C9" w:rsidRDefault="005D43DF" w:rsidP="005D43DF">
      <w:pPr>
        <w:spacing w:before="100" w:beforeAutospacing="1" w:after="100" w:afterAutospacing="1" w:line="240" w:lineRule="auto"/>
        <w:jc w:val="both"/>
        <w:rPr>
          <w:rFonts w:ascii="Arial" w:eastAsia="Calibri" w:hAnsi="Arial" w:cs="Arial"/>
          <w:sz w:val="24"/>
          <w:szCs w:val="24"/>
          <w:lang w:val="en-US"/>
        </w:rPr>
      </w:pPr>
      <w:r>
        <w:rPr>
          <w:rFonts w:ascii="Arial" w:eastAsia="Calibri" w:hAnsi="Arial" w:cs="Arial"/>
          <w:sz w:val="24"/>
          <w:szCs w:val="24"/>
          <w:lang w:val="en-US"/>
        </w:rPr>
        <w:t>T</w:t>
      </w:r>
      <w:r w:rsidRPr="00647C09">
        <w:rPr>
          <w:rFonts w:ascii="Arial" w:eastAsia="Calibri" w:hAnsi="Arial" w:cs="Arial"/>
          <w:sz w:val="24"/>
          <w:szCs w:val="24"/>
          <w:lang w:val="en-US"/>
        </w:rPr>
        <w:t>he chances of you encountering an earlier will which has been proved</w:t>
      </w:r>
      <w:r>
        <w:rPr>
          <w:rFonts w:ascii="Arial" w:eastAsia="Calibri" w:hAnsi="Arial" w:cs="Arial"/>
          <w:sz w:val="24"/>
          <w:szCs w:val="24"/>
          <w:lang w:val="en-US"/>
        </w:rPr>
        <w:t>,</w:t>
      </w:r>
      <w:r w:rsidRPr="00647C09">
        <w:rPr>
          <w:rFonts w:ascii="Arial" w:eastAsia="Calibri" w:hAnsi="Arial" w:cs="Arial"/>
          <w:sz w:val="24"/>
          <w:szCs w:val="24"/>
          <w:lang w:val="en-US"/>
        </w:rPr>
        <w:t xml:space="preserve"> despite there being a </w:t>
      </w:r>
      <w:r>
        <w:rPr>
          <w:rFonts w:ascii="Arial" w:eastAsia="Calibri" w:hAnsi="Arial" w:cs="Arial"/>
          <w:sz w:val="24"/>
          <w:szCs w:val="24"/>
          <w:lang w:val="en-US"/>
        </w:rPr>
        <w:t xml:space="preserve">valid </w:t>
      </w:r>
      <w:r w:rsidRPr="00647C09">
        <w:rPr>
          <w:rFonts w:ascii="Arial" w:eastAsia="Calibri" w:hAnsi="Arial" w:cs="Arial"/>
          <w:sz w:val="24"/>
          <w:szCs w:val="24"/>
          <w:lang w:val="en-US"/>
        </w:rPr>
        <w:t>remotely witnessed subsequent will</w:t>
      </w:r>
      <w:r>
        <w:rPr>
          <w:rFonts w:ascii="Arial" w:eastAsia="Calibri" w:hAnsi="Arial" w:cs="Arial"/>
          <w:sz w:val="24"/>
          <w:szCs w:val="24"/>
          <w:lang w:val="en-US"/>
        </w:rPr>
        <w:t>,</w:t>
      </w:r>
      <w:r w:rsidRPr="00647C09">
        <w:rPr>
          <w:rFonts w:ascii="Arial" w:eastAsia="Calibri" w:hAnsi="Arial" w:cs="Arial"/>
          <w:sz w:val="24"/>
          <w:szCs w:val="24"/>
          <w:lang w:val="en-US"/>
        </w:rPr>
        <w:t xml:space="preserve"> are not high so we probably do not need to dwell on </w:t>
      </w:r>
      <w:r>
        <w:rPr>
          <w:rFonts w:ascii="Arial" w:eastAsia="Calibri" w:hAnsi="Arial" w:cs="Arial"/>
          <w:sz w:val="24"/>
          <w:szCs w:val="24"/>
          <w:lang w:val="en-US"/>
        </w:rPr>
        <w:t>how a grant of letters of administration with will are to  be treated</w:t>
      </w:r>
      <w:r w:rsidRPr="00647C09">
        <w:rPr>
          <w:rFonts w:ascii="Arial" w:eastAsia="Calibri" w:hAnsi="Arial" w:cs="Arial"/>
          <w:sz w:val="24"/>
          <w:szCs w:val="24"/>
          <w:lang w:val="en-US"/>
        </w:rPr>
        <w:t>.</w:t>
      </w:r>
    </w:p>
    <w:p w14:paraId="35E924DA" w14:textId="77777777" w:rsidR="005D43DF" w:rsidRDefault="005D43DF" w:rsidP="005D43DF">
      <w:pPr>
        <w:spacing w:before="100" w:beforeAutospacing="1" w:after="100" w:afterAutospacing="1" w:line="240" w:lineRule="auto"/>
        <w:jc w:val="both"/>
        <w:rPr>
          <w:rFonts w:ascii="Arial" w:eastAsia="Calibri" w:hAnsi="Arial" w:cs="Arial"/>
          <w:sz w:val="24"/>
          <w:szCs w:val="24"/>
          <w:lang w:val="en-US"/>
        </w:rPr>
      </w:pPr>
      <w:r w:rsidRPr="005445C9">
        <w:rPr>
          <w:rFonts w:ascii="Arial" w:eastAsia="Calibri" w:hAnsi="Arial" w:cs="Arial"/>
          <w:sz w:val="24"/>
          <w:szCs w:val="24"/>
          <w:lang w:val="en-US"/>
        </w:rPr>
        <w:t>Anyone thinking of taking advantage of virtual witnessing should look at the “</w:t>
      </w:r>
      <w:r w:rsidRPr="005445C9">
        <w:rPr>
          <w:rFonts w:ascii="Arial" w:eastAsia="Calibri" w:hAnsi="Arial" w:cs="Arial"/>
          <w:i/>
          <w:iCs/>
          <w:sz w:val="24"/>
          <w:szCs w:val="24"/>
          <w:lang w:val="en-US"/>
        </w:rPr>
        <w:t>Guidance on making wills using video-conferencing</w:t>
      </w:r>
      <w:r w:rsidRPr="005445C9">
        <w:rPr>
          <w:rFonts w:ascii="Arial" w:eastAsia="Calibri" w:hAnsi="Arial" w:cs="Arial"/>
          <w:sz w:val="24"/>
          <w:szCs w:val="24"/>
          <w:lang w:val="en-US"/>
        </w:rPr>
        <w:t xml:space="preserve">” which </w:t>
      </w:r>
      <w:r>
        <w:rPr>
          <w:rFonts w:ascii="Arial" w:eastAsia="Calibri" w:hAnsi="Arial" w:cs="Arial"/>
          <w:sz w:val="24"/>
          <w:szCs w:val="24"/>
          <w:lang w:val="en-US"/>
        </w:rPr>
        <w:t xml:space="preserve">the </w:t>
      </w:r>
      <w:r w:rsidRPr="005445C9">
        <w:rPr>
          <w:rFonts w:ascii="Arial" w:eastAsia="Calibri" w:hAnsi="Arial" w:cs="Arial"/>
          <w:sz w:val="24"/>
          <w:szCs w:val="24"/>
          <w:lang w:val="en-US"/>
        </w:rPr>
        <w:t xml:space="preserve">government published on 25 July 2020 </w:t>
      </w:r>
      <w:r>
        <w:rPr>
          <w:rFonts w:ascii="Arial" w:eastAsia="Calibri" w:hAnsi="Arial" w:cs="Arial"/>
          <w:sz w:val="24"/>
          <w:szCs w:val="24"/>
          <w:lang w:val="en-US"/>
        </w:rPr>
        <w:t>and which</w:t>
      </w:r>
      <w:r w:rsidRPr="005445C9">
        <w:rPr>
          <w:rFonts w:ascii="Arial" w:eastAsia="Calibri" w:hAnsi="Arial" w:cs="Arial"/>
          <w:sz w:val="24"/>
          <w:szCs w:val="24"/>
          <w:lang w:val="en-US"/>
        </w:rPr>
        <w:t xml:space="preserve"> makes the following points:</w:t>
      </w:r>
    </w:p>
    <w:p w14:paraId="4C379E21" w14:textId="77777777" w:rsidR="005D43DF" w:rsidRPr="005445C9" w:rsidRDefault="005D43DF" w:rsidP="005D43DF">
      <w:pPr>
        <w:spacing w:before="100" w:beforeAutospacing="1" w:after="0" w:line="240" w:lineRule="auto"/>
        <w:jc w:val="both"/>
        <w:rPr>
          <w:rFonts w:ascii="Arial" w:eastAsia="Calibri" w:hAnsi="Arial" w:cs="Arial"/>
          <w:b/>
          <w:bCs/>
          <w:i/>
          <w:iCs/>
          <w:sz w:val="24"/>
          <w:szCs w:val="24"/>
          <w:lang w:val="en-US"/>
        </w:rPr>
      </w:pPr>
      <w:r w:rsidRPr="005445C9">
        <w:rPr>
          <w:rFonts w:ascii="Arial" w:eastAsia="Calibri" w:hAnsi="Arial" w:cs="Arial"/>
          <w:b/>
          <w:bCs/>
          <w:i/>
          <w:iCs/>
          <w:sz w:val="24"/>
          <w:szCs w:val="24"/>
          <w:lang w:val="en-US"/>
        </w:rPr>
        <w:lastRenderedPageBreak/>
        <w:t>Set-up</w:t>
      </w:r>
    </w:p>
    <w:p w14:paraId="0CBA3727" w14:textId="77777777" w:rsidR="005D43DF" w:rsidRPr="005445C9" w:rsidRDefault="005D43DF" w:rsidP="00EC70B6">
      <w:pPr>
        <w:numPr>
          <w:ilvl w:val="0"/>
          <w:numId w:val="20"/>
        </w:numPr>
        <w:spacing w:after="0" w:line="240" w:lineRule="auto"/>
        <w:ind w:left="714" w:hanging="357"/>
        <w:contextualSpacing/>
        <w:jc w:val="both"/>
        <w:rPr>
          <w:rFonts w:ascii="Arial" w:eastAsia="Calibri" w:hAnsi="Arial" w:cs="Arial"/>
          <w:sz w:val="24"/>
          <w:szCs w:val="24"/>
          <w:lang w:val="en-US"/>
        </w:rPr>
      </w:pPr>
      <w:r w:rsidRPr="005445C9">
        <w:rPr>
          <w:rFonts w:ascii="Arial" w:eastAsia="Calibri" w:hAnsi="Arial" w:cs="Arial"/>
          <w:sz w:val="24"/>
          <w:szCs w:val="24"/>
          <w:lang w:val="en-US"/>
        </w:rPr>
        <w:t>The type of video-conferencing or device used is not important.</w:t>
      </w:r>
    </w:p>
    <w:p w14:paraId="5EE27A81" w14:textId="77777777" w:rsidR="005D43DF" w:rsidRPr="005445C9" w:rsidRDefault="005D43DF" w:rsidP="005D43DF">
      <w:pPr>
        <w:spacing w:after="0" w:line="240" w:lineRule="auto"/>
        <w:ind w:left="714"/>
        <w:contextualSpacing/>
        <w:jc w:val="both"/>
        <w:rPr>
          <w:rFonts w:ascii="Arial" w:eastAsia="Calibri" w:hAnsi="Arial" w:cs="Arial"/>
          <w:sz w:val="24"/>
          <w:szCs w:val="24"/>
          <w:lang w:val="en-US"/>
        </w:rPr>
      </w:pPr>
    </w:p>
    <w:p w14:paraId="31828E91" w14:textId="77777777" w:rsidR="005D43DF" w:rsidRPr="005445C9" w:rsidRDefault="005D43DF" w:rsidP="00EC70B6">
      <w:pPr>
        <w:numPr>
          <w:ilvl w:val="0"/>
          <w:numId w:val="20"/>
        </w:numPr>
        <w:spacing w:after="0" w:line="240" w:lineRule="auto"/>
        <w:ind w:left="714" w:hanging="357"/>
        <w:contextualSpacing/>
        <w:jc w:val="both"/>
        <w:rPr>
          <w:rFonts w:ascii="Arial" w:eastAsia="Calibri" w:hAnsi="Arial" w:cs="Arial"/>
          <w:sz w:val="24"/>
          <w:szCs w:val="24"/>
          <w:lang w:val="en-US"/>
        </w:rPr>
      </w:pPr>
      <w:r w:rsidRPr="005445C9">
        <w:rPr>
          <w:rFonts w:ascii="Arial" w:eastAsia="Calibri" w:hAnsi="Arial" w:cs="Arial"/>
          <w:sz w:val="24"/>
          <w:szCs w:val="24"/>
          <w:lang w:val="en-US"/>
        </w:rPr>
        <w:t>Witnessing pre-recorded videos is not permitted - the witnesses must see the will being signed in real-time.</w:t>
      </w:r>
    </w:p>
    <w:p w14:paraId="78A41322" w14:textId="77777777" w:rsidR="005D43DF" w:rsidRPr="005445C9" w:rsidRDefault="005D43DF" w:rsidP="005D43DF">
      <w:pPr>
        <w:spacing w:after="0" w:line="240" w:lineRule="auto"/>
        <w:contextualSpacing/>
        <w:jc w:val="both"/>
        <w:rPr>
          <w:rFonts w:ascii="Arial" w:eastAsia="Calibri" w:hAnsi="Arial" w:cs="Arial"/>
          <w:sz w:val="24"/>
          <w:szCs w:val="24"/>
          <w:lang w:val="en-US"/>
        </w:rPr>
      </w:pPr>
    </w:p>
    <w:p w14:paraId="497F03F9" w14:textId="77777777" w:rsidR="005D43DF" w:rsidRPr="005445C9" w:rsidRDefault="005D43DF" w:rsidP="00EC70B6">
      <w:pPr>
        <w:pStyle w:val="ListParagraph"/>
        <w:numPr>
          <w:ilvl w:val="0"/>
          <w:numId w:val="20"/>
        </w:numPr>
        <w:ind w:left="698"/>
        <w:jc w:val="both"/>
        <w:rPr>
          <w:rFonts w:ascii="Arial" w:eastAsia="Calibri" w:hAnsi="Arial" w:cs="Arial"/>
          <w:sz w:val="24"/>
          <w:szCs w:val="24"/>
          <w:lang w:val="en-US"/>
        </w:rPr>
      </w:pPr>
      <w:r w:rsidRPr="005445C9">
        <w:rPr>
          <w:rFonts w:ascii="Arial" w:eastAsia="Calibri" w:hAnsi="Arial" w:cs="Arial"/>
          <w:sz w:val="24"/>
          <w:szCs w:val="24"/>
          <w:lang w:val="en-US"/>
        </w:rPr>
        <w:t>The witnesses and testator can all be at different locations, on a three-way link, or two can be physically together with one at a remote location.</w:t>
      </w:r>
    </w:p>
    <w:p w14:paraId="28C854C7" w14:textId="77777777" w:rsidR="005D43DF" w:rsidRPr="005445C9" w:rsidRDefault="005D43DF" w:rsidP="00EC70B6">
      <w:pPr>
        <w:numPr>
          <w:ilvl w:val="0"/>
          <w:numId w:val="20"/>
        </w:numPr>
        <w:spacing w:after="0" w:line="240" w:lineRule="auto"/>
        <w:ind w:left="714" w:hanging="357"/>
        <w:contextualSpacing/>
        <w:jc w:val="both"/>
        <w:rPr>
          <w:rFonts w:ascii="Arial" w:eastAsia="Calibri" w:hAnsi="Arial" w:cs="Arial"/>
          <w:sz w:val="24"/>
          <w:szCs w:val="24"/>
          <w:lang w:val="en-US"/>
        </w:rPr>
      </w:pPr>
      <w:r w:rsidRPr="005445C9">
        <w:rPr>
          <w:rFonts w:ascii="Arial" w:eastAsia="Calibri" w:hAnsi="Arial" w:cs="Arial"/>
          <w:sz w:val="24"/>
          <w:szCs w:val="24"/>
          <w:lang w:val="en-US"/>
        </w:rPr>
        <w:t>If possible, the procedure should be recorded.</w:t>
      </w:r>
    </w:p>
    <w:p w14:paraId="286930A9" w14:textId="77777777" w:rsidR="005D43DF" w:rsidRPr="005445C9" w:rsidRDefault="005D43DF" w:rsidP="005D43DF">
      <w:pPr>
        <w:spacing w:after="0" w:line="240" w:lineRule="auto"/>
        <w:ind w:left="714"/>
        <w:contextualSpacing/>
        <w:jc w:val="both"/>
        <w:rPr>
          <w:rFonts w:ascii="Arial" w:eastAsia="Calibri" w:hAnsi="Arial" w:cs="Arial"/>
          <w:sz w:val="24"/>
          <w:szCs w:val="24"/>
          <w:lang w:val="en-US"/>
        </w:rPr>
      </w:pPr>
    </w:p>
    <w:p w14:paraId="667C791E" w14:textId="77777777" w:rsidR="005D43DF" w:rsidRDefault="005D43DF" w:rsidP="00EC70B6">
      <w:pPr>
        <w:numPr>
          <w:ilvl w:val="0"/>
          <w:numId w:val="20"/>
        </w:numPr>
        <w:spacing w:after="0" w:line="240" w:lineRule="auto"/>
        <w:ind w:left="714" w:hanging="357"/>
        <w:contextualSpacing/>
        <w:jc w:val="both"/>
        <w:rPr>
          <w:rFonts w:ascii="Arial" w:eastAsia="Calibri" w:hAnsi="Arial" w:cs="Arial"/>
          <w:sz w:val="24"/>
          <w:szCs w:val="24"/>
          <w:lang w:val="en-US"/>
        </w:rPr>
      </w:pPr>
      <w:r w:rsidRPr="00647C09">
        <w:rPr>
          <w:rFonts w:ascii="Arial" w:eastAsia="Calibri" w:hAnsi="Arial" w:cs="Arial"/>
          <w:sz w:val="24"/>
          <w:szCs w:val="24"/>
          <w:lang w:val="en-US"/>
        </w:rPr>
        <w:t xml:space="preserve">The attestation clause should be amended to state that one or both witnesses are witnessing remotely. </w:t>
      </w:r>
    </w:p>
    <w:p w14:paraId="503F56CE" w14:textId="77777777" w:rsidR="005D43DF" w:rsidRPr="00647C09" w:rsidRDefault="005D43DF" w:rsidP="005D43DF">
      <w:pPr>
        <w:spacing w:after="0" w:line="240" w:lineRule="auto"/>
        <w:ind w:left="714"/>
        <w:contextualSpacing/>
        <w:jc w:val="both"/>
        <w:rPr>
          <w:rFonts w:ascii="Arial" w:eastAsia="Calibri" w:hAnsi="Arial" w:cs="Arial"/>
          <w:sz w:val="24"/>
          <w:szCs w:val="24"/>
          <w:lang w:val="en-US"/>
        </w:rPr>
      </w:pPr>
    </w:p>
    <w:p w14:paraId="28F1EDAF" w14:textId="77777777" w:rsidR="005D43DF" w:rsidRPr="00AF632C" w:rsidRDefault="005D43DF" w:rsidP="005D43DF">
      <w:pPr>
        <w:spacing w:after="0" w:line="240" w:lineRule="auto"/>
        <w:contextualSpacing/>
        <w:jc w:val="both"/>
        <w:rPr>
          <w:rFonts w:ascii="Arial" w:eastAsia="Calibri" w:hAnsi="Arial" w:cs="Arial"/>
          <w:b/>
          <w:bCs/>
          <w:i/>
          <w:iCs/>
          <w:sz w:val="24"/>
          <w:szCs w:val="24"/>
          <w:lang w:val="en-US"/>
        </w:rPr>
      </w:pPr>
      <w:r w:rsidRPr="00AF632C">
        <w:rPr>
          <w:rFonts w:ascii="Arial" w:eastAsia="Calibri" w:hAnsi="Arial" w:cs="Arial"/>
          <w:b/>
          <w:bCs/>
          <w:i/>
          <w:iCs/>
          <w:sz w:val="24"/>
          <w:szCs w:val="24"/>
          <w:lang w:val="en-US"/>
        </w:rPr>
        <w:t>The testator signs</w:t>
      </w:r>
    </w:p>
    <w:p w14:paraId="64382C09" w14:textId="77777777" w:rsidR="005D43DF" w:rsidRPr="005445C9" w:rsidRDefault="005D43DF" w:rsidP="00EC70B6">
      <w:pPr>
        <w:numPr>
          <w:ilvl w:val="0"/>
          <w:numId w:val="20"/>
        </w:numPr>
        <w:spacing w:after="0" w:line="240" w:lineRule="auto"/>
        <w:ind w:left="714" w:hanging="357"/>
        <w:contextualSpacing/>
        <w:jc w:val="both"/>
        <w:rPr>
          <w:rFonts w:ascii="Arial" w:eastAsia="Calibri" w:hAnsi="Arial" w:cs="Arial"/>
          <w:sz w:val="24"/>
          <w:szCs w:val="24"/>
          <w:lang w:val="en-US"/>
        </w:rPr>
      </w:pPr>
      <w:r w:rsidRPr="005445C9">
        <w:rPr>
          <w:rFonts w:ascii="Arial" w:eastAsia="Calibri" w:hAnsi="Arial" w:cs="Arial"/>
          <w:sz w:val="24"/>
          <w:szCs w:val="24"/>
          <w:lang w:val="en-US"/>
        </w:rPr>
        <w:t>Before signing, the will-maker should ensure that the witnesses can see them actually writing their signature on the will, not just their head and shoulders.</w:t>
      </w:r>
    </w:p>
    <w:p w14:paraId="59FE50D3" w14:textId="77777777" w:rsidR="005D43DF" w:rsidRPr="005445C9" w:rsidRDefault="005D43DF" w:rsidP="005D43DF">
      <w:pPr>
        <w:spacing w:after="0" w:line="240" w:lineRule="auto"/>
        <w:ind w:left="714"/>
        <w:contextualSpacing/>
        <w:jc w:val="both"/>
        <w:rPr>
          <w:rFonts w:ascii="Arial" w:eastAsia="Calibri" w:hAnsi="Arial" w:cs="Arial"/>
          <w:sz w:val="24"/>
          <w:szCs w:val="24"/>
          <w:lang w:val="en-US"/>
        </w:rPr>
      </w:pPr>
    </w:p>
    <w:p w14:paraId="0C6F9CA7" w14:textId="77777777" w:rsidR="005D43DF" w:rsidRPr="005445C9" w:rsidRDefault="005D43DF" w:rsidP="00EC70B6">
      <w:pPr>
        <w:numPr>
          <w:ilvl w:val="0"/>
          <w:numId w:val="20"/>
        </w:numPr>
        <w:spacing w:after="0" w:line="240" w:lineRule="auto"/>
        <w:ind w:left="714" w:hanging="357"/>
        <w:contextualSpacing/>
        <w:jc w:val="both"/>
        <w:rPr>
          <w:rFonts w:ascii="Arial" w:eastAsia="Calibri" w:hAnsi="Arial" w:cs="Arial"/>
          <w:sz w:val="24"/>
          <w:szCs w:val="24"/>
          <w:lang w:val="en-US"/>
        </w:rPr>
      </w:pPr>
      <w:r w:rsidRPr="005445C9">
        <w:rPr>
          <w:rFonts w:ascii="Arial" w:eastAsia="Calibri" w:hAnsi="Arial" w:cs="Arial"/>
          <w:sz w:val="24"/>
          <w:szCs w:val="24"/>
          <w:lang w:val="en-US"/>
        </w:rPr>
        <w:t xml:space="preserve">The witnesses should confirm that they can see, hear (unless they have a hearing impairment), </w:t>
      </w:r>
      <w:r>
        <w:rPr>
          <w:rFonts w:ascii="Arial" w:eastAsia="Calibri" w:hAnsi="Arial" w:cs="Arial"/>
          <w:sz w:val="24"/>
          <w:szCs w:val="24"/>
          <w:lang w:val="en-US"/>
        </w:rPr>
        <w:t xml:space="preserve">and </w:t>
      </w:r>
      <w:r w:rsidRPr="005445C9">
        <w:rPr>
          <w:rFonts w:ascii="Arial" w:eastAsia="Calibri" w:hAnsi="Arial" w:cs="Arial"/>
          <w:sz w:val="24"/>
          <w:szCs w:val="24"/>
          <w:lang w:val="en-US"/>
        </w:rPr>
        <w:t xml:space="preserve">acknowledge </w:t>
      </w:r>
      <w:r>
        <w:rPr>
          <w:rFonts w:ascii="Arial" w:eastAsia="Calibri" w:hAnsi="Arial" w:cs="Arial"/>
          <w:sz w:val="24"/>
          <w:szCs w:val="24"/>
          <w:lang w:val="en-US"/>
        </w:rPr>
        <w:t>they</w:t>
      </w:r>
      <w:r w:rsidRPr="005445C9">
        <w:rPr>
          <w:rFonts w:ascii="Arial" w:eastAsia="Calibri" w:hAnsi="Arial" w:cs="Arial"/>
          <w:sz w:val="24"/>
          <w:szCs w:val="24"/>
          <w:lang w:val="en-US"/>
        </w:rPr>
        <w:t xml:space="preserve"> understand their role in witnessing the signing of a legal document.</w:t>
      </w:r>
    </w:p>
    <w:p w14:paraId="30D958A8" w14:textId="77777777" w:rsidR="005D43DF" w:rsidRPr="005445C9" w:rsidRDefault="005D43DF" w:rsidP="005D43DF">
      <w:pPr>
        <w:spacing w:after="0" w:line="240" w:lineRule="auto"/>
        <w:ind w:left="714"/>
        <w:contextualSpacing/>
        <w:jc w:val="both"/>
        <w:rPr>
          <w:rFonts w:ascii="Arial" w:eastAsia="Calibri" w:hAnsi="Arial" w:cs="Arial"/>
          <w:sz w:val="24"/>
          <w:szCs w:val="24"/>
          <w:lang w:val="en-US"/>
        </w:rPr>
      </w:pPr>
    </w:p>
    <w:p w14:paraId="1D2B0265" w14:textId="77777777" w:rsidR="005D43DF" w:rsidRPr="005445C9" w:rsidRDefault="005D43DF" w:rsidP="00EC70B6">
      <w:pPr>
        <w:numPr>
          <w:ilvl w:val="0"/>
          <w:numId w:val="20"/>
        </w:numPr>
        <w:spacing w:after="0" w:line="240" w:lineRule="auto"/>
        <w:ind w:left="714" w:hanging="357"/>
        <w:contextualSpacing/>
        <w:jc w:val="both"/>
        <w:rPr>
          <w:rFonts w:ascii="Arial" w:eastAsia="Calibri" w:hAnsi="Arial" w:cs="Arial"/>
          <w:sz w:val="24"/>
          <w:szCs w:val="24"/>
          <w:lang w:val="en-US"/>
        </w:rPr>
      </w:pPr>
      <w:r w:rsidRPr="005445C9">
        <w:rPr>
          <w:rFonts w:ascii="Arial" w:eastAsia="Calibri" w:hAnsi="Arial" w:cs="Arial"/>
          <w:sz w:val="24"/>
          <w:szCs w:val="24"/>
          <w:lang w:val="en-US"/>
        </w:rPr>
        <w:t xml:space="preserve">The </w:t>
      </w:r>
      <w:r>
        <w:rPr>
          <w:rFonts w:ascii="Arial" w:eastAsia="Calibri" w:hAnsi="Arial" w:cs="Arial"/>
          <w:sz w:val="24"/>
          <w:szCs w:val="24"/>
          <w:lang w:val="en-US"/>
        </w:rPr>
        <w:t>testator</w:t>
      </w:r>
      <w:r w:rsidRPr="005445C9">
        <w:rPr>
          <w:rFonts w:ascii="Arial" w:eastAsia="Calibri" w:hAnsi="Arial" w:cs="Arial"/>
          <w:sz w:val="24"/>
          <w:szCs w:val="24"/>
          <w:lang w:val="en-US"/>
        </w:rPr>
        <w:t xml:space="preserve"> should hold the front page of the will document up to the camera to show the witnesses, and then turn to the page they will be signing and hold this up as well.</w:t>
      </w:r>
    </w:p>
    <w:p w14:paraId="16079C9C" w14:textId="77777777" w:rsidR="005D43DF" w:rsidRPr="005445C9" w:rsidRDefault="005D43DF" w:rsidP="005D43DF">
      <w:pPr>
        <w:spacing w:after="0" w:line="240" w:lineRule="auto"/>
        <w:ind w:left="714"/>
        <w:contextualSpacing/>
        <w:jc w:val="both"/>
        <w:rPr>
          <w:rFonts w:ascii="Arial" w:eastAsia="Calibri" w:hAnsi="Arial" w:cs="Arial"/>
          <w:sz w:val="24"/>
          <w:szCs w:val="24"/>
          <w:lang w:val="en-US"/>
        </w:rPr>
      </w:pPr>
    </w:p>
    <w:p w14:paraId="3D0FBDD3" w14:textId="77777777" w:rsidR="005D43DF" w:rsidRDefault="005D43DF" w:rsidP="00EC70B6">
      <w:pPr>
        <w:pStyle w:val="ListParagraph"/>
        <w:numPr>
          <w:ilvl w:val="0"/>
          <w:numId w:val="20"/>
        </w:numPr>
        <w:spacing w:after="0" w:line="240" w:lineRule="auto"/>
        <w:ind w:left="714" w:hanging="357"/>
        <w:jc w:val="both"/>
        <w:rPr>
          <w:rFonts w:ascii="Arial" w:eastAsia="Calibri" w:hAnsi="Arial" w:cs="Arial"/>
          <w:lang w:val="en-US"/>
        </w:rPr>
      </w:pPr>
      <w:r w:rsidRPr="005445C9">
        <w:rPr>
          <w:rFonts w:ascii="Arial" w:eastAsia="Calibri" w:hAnsi="Arial" w:cs="Arial"/>
          <w:sz w:val="24"/>
          <w:szCs w:val="24"/>
          <w:lang w:val="en-US"/>
        </w:rPr>
        <w:t xml:space="preserve">The testator must physically sign the will (or acknowledge an earlier physical signature). Electronic signatures are not permitted. </w:t>
      </w:r>
      <w:r w:rsidRPr="00AF632C">
        <w:rPr>
          <w:rFonts w:ascii="Arial" w:eastAsia="Calibri" w:hAnsi="Arial" w:cs="Arial"/>
          <w:lang w:val="en-US"/>
        </w:rPr>
        <w:t>The testator will date the will with the date of signature</w:t>
      </w:r>
      <w:r>
        <w:rPr>
          <w:rFonts w:ascii="Arial" w:eastAsia="Calibri" w:hAnsi="Arial" w:cs="Arial"/>
          <w:lang w:val="en-US"/>
        </w:rPr>
        <w:t>.</w:t>
      </w:r>
    </w:p>
    <w:p w14:paraId="1FF2277D" w14:textId="77777777" w:rsidR="005D43DF" w:rsidRPr="00FE50AE" w:rsidRDefault="005D43DF" w:rsidP="005D43DF">
      <w:pPr>
        <w:pStyle w:val="ListParagraph"/>
        <w:rPr>
          <w:rFonts w:ascii="Arial" w:eastAsia="Calibri" w:hAnsi="Arial" w:cs="Arial"/>
          <w:lang w:val="en-US"/>
        </w:rPr>
      </w:pPr>
    </w:p>
    <w:p w14:paraId="27E1A61A" w14:textId="77777777" w:rsidR="005D43DF" w:rsidRPr="00AF632C" w:rsidRDefault="005D43DF" w:rsidP="00EC70B6">
      <w:pPr>
        <w:pStyle w:val="ListParagraph"/>
        <w:numPr>
          <w:ilvl w:val="0"/>
          <w:numId w:val="20"/>
        </w:numPr>
        <w:spacing w:after="0" w:line="240" w:lineRule="auto"/>
        <w:ind w:left="714" w:hanging="357"/>
        <w:jc w:val="both"/>
        <w:rPr>
          <w:rFonts w:ascii="Arial" w:eastAsia="Calibri" w:hAnsi="Arial" w:cs="Arial"/>
          <w:lang w:val="en-US"/>
        </w:rPr>
      </w:pPr>
      <w:r>
        <w:rPr>
          <w:rFonts w:ascii="Arial" w:eastAsia="Calibri" w:hAnsi="Arial" w:cs="Arial"/>
          <w:lang w:val="en-US"/>
        </w:rPr>
        <w:t>If the witnesses do not already know the testator, he/she should hold up photographic identification such as a passport or driving licence.</w:t>
      </w:r>
    </w:p>
    <w:p w14:paraId="16ADF60F" w14:textId="77777777" w:rsidR="005D43DF" w:rsidRPr="00AF632C" w:rsidRDefault="005D43DF" w:rsidP="005D43DF">
      <w:pPr>
        <w:ind w:left="720"/>
        <w:contextualSpacing/>
        <w:jc w:val="both"/>
        <w:rPr>
          <w:rFonts w:ascii="Arial" w:eastAsia="Calibri" w:hAnsi="Arial" w:cs="Arial"/>
          <w:sz w:val="24"/>
          <w:szCs w:val="24"/>
          <w:lang w:val="en-US"/>
        </w:rPr>
      </w:pPr>
    </w:p>
    <w:p w14:paraId="2AC56349" w14:textId="77777777" w:rsidR="005D43DF" w:rsidRPr="00AF632C" w:rsidRDefault="005D43DF" w:rsidP="005D43DF">
      <w:pPr>
        <w:spacing w:after="0" w:line="240" w:lineRule="auto"/>
        <w:jc w:val="both"/>
        <w:rPr>
          <w:rFonts w:ascii="Arial" w:eastAsia="Calibri" w:hAnsi="Arial" w:cs="Arial"/>
          <w:b/>
          <w:bCs/>
          <w:i/>
          <w:iCs/>
          <w:sz w:val="24"/>
          <w:szCs w:val="24"/>
          <w:lang w:val="en-US"/>
        </w:rPr>
      </w:pPr>
      <w:r w:rsidRPr="00AF632C">
        <w:rPr>
          <w:rFonts w:ascii="Arial" w:eastAsia="Calibri" w:hAnsi="Arial" w:cs="Arial"/>
          <w:b/>
          <w:bCs/>
          <w:i/>
          <w:iCs/>
          <w:sz w:val="24"/>
          <w:szCs w:val="24"/>
          <w:lang w:val="en-US"/>
        </w:rPr>
        <w:t>Witnessing the will</w:t>
      </w:r>
    </w:p>
    <w:p w14:paraId="717EA615" w14:textId="77777777" w:rsidR="005D43DF" w:rsidRPr="005445C9" w:rsidRDefault="005D43DF" w:rsidP="00EC70B6">
      <w:pPr>
        <w:numPr>
          <w:ilvl w:val="0"/>
          <w:numId w:val="20"/>
        </w:numPr>
        <w:spacing w:after="0" w:line="240" w:lineRule="auto"/>
        <w:ind w:left="714" w:hanging="357"/>
        <w:contextualSpacing/>
        <w:jc w:val="both"/>
        <w:rPr>
          <w:rFonts w:ascii="Arial" w:eastAsia="Calibri" w:hAnsi="Arial" w:cs="Arial"/>
          <w:sz w:val="24"/>
          <w:szCs w:val="24"/>
          <w:lang w:val="en-US"/>
        </w:rPr>
      </w:pPr>
      <w:r w:rsidRPr="005445C9">
        <w:rPr>
          <w:rFonts w:ascii="Arial" w:eastAsia="Calibri" w:hAnsi="Arial" w:cs="Arial"/>
          <w:sz w:val="24"/>
          <w:szCs w:val="24"/>
          <w:lang w:val="en-US"/>
        </w:rPr>
        <w:t>The will must then be taken or posted to the witnesses.</w:t>
      </w:r>
    </w:p>
    <w:p w14:paraId="22B6672C" w14:textId="77777777" w:rsidR="005D43DF" w:rsidRPr="005445C9" w:rsidRDefault="005D43DF" w:rsidP="005D43DF">
      <w:pPr>
        <w:spacing w:after="0" w:line="240" w:lineRule="auto"/>
        <w:ind w:left="714"/>
        <w:contextualSpacing/>
        <w:jc w:val="both"/>
        <w:rPr>
          <w:rFonts w:ascii="Arial" w:eastAsia="Calibri" w:hAnsi="Arial" w:cs="Arial"/>
          <w:sz w:val="24"/>
          <w:szCs w:val="24"/>
          <w:lang w:val="en-US"/>
        </w:rPr>
      </w:pPr>
    </w:p>
    <w:p w14:paraId="4AA0BA0E" w14:textId="77777777" w:rsidR="005D43DF" w:rsidRPr="005445C9" w:rsidRDefault="005D43DF" w:rsidP="00EC70B6">
      <w:pPr>
        <w:numPr>
          <w:ilvl w:val="0"/>
          <w:numId w:val="20"/>
        </w:numPr>
        <w:spacing w:after="0" w:line="240" w:lineRule="auto"/>
        <w:ind w:left="714" w:hanging="357"/>
        <w:contextualSpacing/>
        <w:jc w:val="both"/>
        <w:rPr>
          <w:rFonts w:ascii="Arial" w:eastAsia="Calibri" w:hAnsi="Arial" w:cs="Arial"/>
          <w:sz w:val="24"/>
          <w:szCs w:val="24"/>
          <w:lang w:val="en-US"/>
        </w:rPr>
      </w:pPr>
      <w:r w:rsidRPr="005445C9">
        <w:rPr>
          <w:rFonts w:ascii="Arial" w:eastAsia="Calibri" w:hAnsi="Arial" w:cs="Arial"/>
          <w:sz w:val="24"/>
          <w:szCs w:val="24"/>
          <w:lang w:val="en-US"/>
        </w:rPr>
        <w:t>The witnesses must physically sign the will in the virtual presence of the testator, and, if possible, in the virtual or physical presence of each other.</w:t>
      </w:r>
    </w:p>
    <w:p w14:paraId="130E9856" w14:textId="77777777" w:rsidR="005D43DF" w:rsidRPr="005445C9" w:rsidRDefault="005D43DF" w:rsidP="005D43DF">
      <w:pPr>
        <w:spacing w:after="0" w:line="240" w:lineRule="auto"/>
        <w:ind w:left="714"/>
        <w:contextualSpacing/>
        <w:jc w:val="both"/>
        <w:rPr>
          <w:rFonts w:ascii="Arial" w:eastAsia="Calibri" w:hAnsi="Arial" w:cs="Arial"/>
          <w:sz w:val="24"/>
          <w:szCs w:val="24"/>
          <w:lang w:val="en-US"/>
        </w:rPr>
      </w:pPr>
    </w:p>
    <w:p w14:paraId="31F6C846" w14:textId="77777777" w:rsidR="005D43DF" w:rsidRDefault="005D43DF" w:rsidP="00EC70B6">
      <w:pPr>
        <w:numPr>
          <w:ilvl w:val="0"/>
          <w:numId w:val="20"/>
        </w:numPr>
        <w:spacing w:after="0" w:line="240" w:lineRule="auto"/>
        <w:ind w:left="714" w:hanging="357"/>
        <w:contextualSpacing/>
        <w:jc w:val="both"/>
        <w:rPr>
          <w:rFonts w:ascii="Arial" w:eastAsia="Calibri" w:hAnsi="Arial" w:cs="Arial"/>
          <w:sz w:val="24"/>
          <w:szCs w:val="24"/>
          <w:lang w:val="en-US"/>
        </w:rPr>
      </w:pPr>
      <w:r w:rsidRPr="005445C9">
        <w:rPr>
          <w:rFonts w:ascii="Arial" w:eastAsia="Calibri" w:hAnsi="Arial" w:cs="Arial"/>
          <w:sz w:val="24"/>
          <w:szCs w:val="24"/>
          <w:lang w:val="en-US"/>
        </w:rPr>
        <w:t>As with the testator, they should hold up the will to the testator and sign (or acknowledge an earlier signature) (again the testator should see them writing their names, not just see their heads and shoulders).</w:t>
      </w:r>
    </w:p>
    <w:p w14:paraId="636E05A3" w14:textId="77777777" w:rsidR="005D43DF" w:rsidRDefault="005D43DF" w:rsidP="005D43DF">
      <w:pPr>
        <w:pStyle w:val="ListParagraph"/>
        <w:jc w:val="both"/>
        <w:rPr>
          <w:rFonts w:ascii="Arial" w:eastAsia="Calibri" w:hAnsi="Arial" w:cs="Arial"/>
          <w:sz w:val="24"/>
          <w:szCs w:val="24"/>
          <w:lang w:val="en-US"/>
        </w:rPr>
      </w:pPr>
    </w:p>
    <w:p w14:paraId="0EDB20C0" w14:textId="77777777" w:rsidR="005D43DF" w:rsidRPr="00AF632C" w:rsidRDefault="005D43DF" w:rsidP="00EC70B6">
      <w:pPr>
        <w:pStyle w:val="ListParagraph"/>
        <w:numPr>
          <w:ilvl w:val="0"/>
          <w:numId w:val="20"/>
        </w:numPr>
        <w:jc w:val="both"/>
        <w:rPr>
          <w:rFonts w:ascii="Arial" w:eastAsia="Calibri" w:hAnsi="Arial" w:cs="Arial"/>
          <w:i/>
          <w:iCs/>
          <w:sz w:val="24"/>
          <w:szCs w:val="24"/>
          <w:lang w:val="en-US"/>
        </w:rPr>
      </w:pPr>
      <w:r w:rsidRPr="00AF632C">
        <w:rPr>
          <w:rFonts w:ascii="Arial" w:eastAsia="Calibri" w:hAnsi="Arial" w:cs="Arial"/>
          <w:sz w:val="24"/>
          <w:szCs w:val="24"/>
          <w:lang w:val="en-US"/>
        </w:rPr>
        <w:t xml:space="preserve">The </w:t>
      </w:r>
      <w:r>
        <w:rPr>
          <w:rFonts w:ascii="Arial" w:eastAsia="Calibri" w:hAnsi="Arial" w:cs="Arial"/>
          <w:sz w:val="24"/>
          <w:szCs w:val="24"/>
          <w:lang w:val="en-US"/>
        </w:rPr>
        <w:t>witnesses will sign with the date on which they are signing which may be different from the date on which the testator signed and the date on which the other witness signs. The execution process is not complete until everyone has signed.</w:t>
      </w:r>
    </w:p>
    <w:p w14:paraId="078413C2" w14:textId="77777777" w:rsidR="005D43DF" w:rsidRPr="005445C9" w:rsidRDefault="005D43DF" w:rsidP="005D43DF">
      <w:pPr>
        <w:spacing w:after="0" w:line="240" w:lineRule="auto"/>
        <w:contextualSpacing/>
        <w:jc w:val="both"/>
        <w:rPr>
          <w:rFonts w:ascii="Arial" w:eastAsia="Calibri" w:hAnsi="Arial" w:cs="Arial"/>
          <w:sz w:val="24"/>
          <w:szCs w:val="24"/>
          <w:lang w:val="en-US"/>
        </w:rPr>
      </w:pPr>
    </w:p>
    <w:p w14:paraId="6531FF29" w14:textId="77777777" w:rsidR="00D70007" w:rsidRDefault="00D70007" w:rsidP="00D70007">
      <w:pPr>
        <w:spacing w:after="0" w:line="240" w:lineRule="auto"/>
        <w:ind w:left="357"/>
        <w:contextualSpacing/>
        <w:jc w:val="both"/>
        <w:rPr>
          <w:rFonts w:ascii="Arial" w:eastAsia="Calibri" w:hAnsi="Arial" w:cs="Arial"/>
          <w:sz w:val="24"/>
          <w:szCs w:val="24"/>
          <w:lang w:val="en-US"/>
        </w:rPr>
      </w:pPr>
    </w:p>
    <w:p w14:paraId="4CD777E8" w14:textId="7F00F89C" w:rsidR="00E700A3" w:rsidRDefault="00D70007" w:rsidP="00D70007">
      <w:pPr>
        <w:spacing w:after="0" w:line="240" w:lineRule="auto"/>
        <w:ind w:left="357"/>
        <w:contextualSpacing/>
        <w:jc w:val="both"/>
        <w:rPr>
          <w:rFonts w:ascii="Arial" w:eastAsia="Calibri" w:hAnsi="Arial" w:cs="Arial"/>
          <w:sz w:val="24"/>
          <w:szCs w:val="24"/>
          <w:lang w:val="en-US"/>
        </w:rPr>
      </w:pPr>
      <w:r w:rsidRPr="005445C9">
        <w:rPr>
          <w:rFonts w:ascii="Arial" w:eastAsia="Calibri" w:hAnsi="Arial" w:cs="Arial"/>
          <w:sz w:val="24"/>
          <w:szCs w:val="24"/>
          <w:lang w:val="en-US"/>
        </w:rPr>
        <w:lastRenderedPageBreak/>
        <w:t xml:space="preserve">When the change to the Wills Act was announced, </w:t>
      </w:r>
      <w:r w:rsidR="00E700A3">
        <w:rPr>
          <w:rFonts w:ascii="Arial" w:eastAsia="Calibri" w:hAnsi="Arial" w:cs="Arial"/>
          <w:sz w:val="24"/>
          <w:szCs w:val="24"/>
          <w:lang w:val="en-US"/>
        </w:rPr>
        <w:t>the guidance said:</w:t>
      </w:r>
    </w:p>
    <w:p w14:paraId="790B50FA" w14:textId="77777777" w:rsidR="00E700A3" w:rsidRDefault="00E700A3" w:rsidP="00D70007">
      <w:pPr>
        <w:spacing w:after="0" w:line="240" w:lineRule="auto"/>
        <w:ind w:left="357"/>
        <w:contextualSpacing/>
        <w:jc w:val="both"/>
        <w:rPr>
          <w:rFonts w:ascii="Arial" w:eastAsia="Calibri" w:hAnsi="Arial" w:cs="Arial"/>
          <w:sz w:val="24"/>
          <w:szCs w:val="24"/>
          <w:lang w:val="en-US"/>
        </w:rPr>
      </w:pPr>
    </w:p>
    <w:p w14:paraId="3C3CCE74" w14:textId="1A8846A8" w:rsidR="00E700A3" w:rsidRPr="00E700A3" w:rsidRDefault="00E700A3" w:rsidP="00E700A3">
      <w:pPr>
        <w:spacing w:after="0" w:line="240" w:lineRule="auto"/>
        <w:ind w:left="720"/>
        <w:contextualSpacing/>
        <w:jc w:val="both"/>
        <w:rPr>
          <w:rFonts w:ascii="Arial" w:eastAsia="Calibri" w:hAnsi="Arial" w:cs="Arial"/>
          <w:i/>
          <w:iCs/>
          <w:sz w:val="24"/>
          <w:szCs w:val="24"/>
          <w:lang w:val="en-US"/>
        </w:rPr>
      </w:pPr>
      <w:r w:rsidRPr="00E700A3">
        <w:rPr>
          <w:rFonts w:ascii="Arial" w:eastAsia="Calibri" w:hAnsi="Arial" w:cs="Arial"/>
          <w:i/>
          <w:iCs/>
          <w:sz w:val="24"/>
          <w:szCs w:val="24"/>
          <w:lang w:val="en-US"/>
        </w:rPr>
        <w:t>“The advice remains that where people can make wills in the conventional way they should continue to do so.”</w:t>
      </w:r>
    </w:p>
    <w:p w14:paraId="558F92A0" w14:textId="77777777" w:rsidR="00E700A3" w:rsidRDefault="00E700A3" w:rsidP="00D70007">
      <w:pPr>
        <w:spacing w:after="0" w:line="240" w:lineRule="auto"/>
        <w:ind w:left="357"/>
        <w:contextualSpacing/>
        <w:jc w:val="both"/>
        <w:rPr>
          <w:rFonts w:ascii="Arial" w:eastAsia="Calibri" w:hAnsi="Arial" w:cs="Arial"/>
          <w:sz w:val="24"/>
          <w:szCs w:val="24"/>
          <w:lang w:val="en-US"/>
        </w:rPr>
      </w:pPr>
    </w:p>
    <w:p w14:paraId="4A16A5EE" w14:textId="02B275DB" w:rsidR="00D70007" w:rsidRDefault="00E700A3" w:rsidP="00D70007">
      <w:pPr>
        <w:spacing w:after="0" w:line="240" w:lineRule="auto"/>
        <w:ind w:left="357"/>
        <w:contextualSpacing/>
        <w:jc w:val="both"/>
        <w:rPr>
          <w:rFonts w:ascii="Arial" w:eastAsia="Calibri" w:hAnsi="Arial" w:cs="Arial"/>
          <w:sz w:val="24"/>
          <w:szCs w:val="24"/>
          <w:lang w:val="en-US"/>
        </w:rPr>
      </w:pPr>
      <w:r>
        <w:rPr>
          <w:rFonts w:ascii="Arial" w:eastAsia="Calibri" w:hAnsi="Arial" w:cs="Arial"/>
          <w:sz w:val="24"/>
          <w:szCs w:val="24"/>
          <w:lang w:val="en-US"/>
        </w:rPr>
        <w:t>T</w:t>
      </w:r>
      <w:r w:rsidR="00D70007" w:rsidRPr="005445C9">
        <w:rPr>
          <w:rFonts w:ascii="Arial" w:eastAsia="Calibri" w:hAnsi="Arial" w:cs="Arial"/>
          <w:sz w:val="24"/>
          <w:szCs w:val="24"/>
          <w:lang w:val="en-US"/>
        </w:rPr>
        <w:t xml:space="preserve">he </w:t>
      </w:r>
      <w:r>
        <w:rPr>
          <w:rFonts w:ascii="Arial" w:eastAsia="Calibri" w:hAnsi="Arial" w:cs="Arial"/>
          <w:sz w:val="24"/>
          <w:szCs w:val="24"/>
          <w:lang w:val="en-US"/>
        </w:rPr>
        <w:t xml:space="preserve">accompanying </w:t>
      </w:r>
      <w:r w:rsidR="00D70007" w:rsidRPr="005445C9">
        <w:rPr>
          <w:rFonts w:ascii="Arial" w:eastAsia="Calibri" w:hAnsi="Arial" w:cs="Arial"/>
          <w:sz w:val="24"/>
          <w:szCs w:val="24"/>
          <w:lang w:val="en-US"/>
        </w:rPr>
        <w:t xml:space="preserve">press release said </w:t>
      </w:r>
    </w:p>
    <w:p w14:paraId="61E873BA" w14:textId="77777777" w:rsidR="00D70007" w:rsidRDefault="00D70007" w:rsidP="00D70007">
      <w:pPr>
        <w:spacing w:after="0" w:line="240" w:lineRule="auto"/>
        <w:ind w:left="357"/>
        <w:contextualSpacing/>
        <w:jc w:val="both"/>
        <w:rPr>
          <w:rFonts w:ascii="Arial" w:eastAsia="Calibri" w:hAnsi="Arial" w:cs="Arial"/>
          <w:sz w:val="24"/>
          <w:szCs w:val="24"/>
          <w:lang w:val="en-US"/>
        </w:rPr>
      </w:pPr>
    </w:p>
    <w:p w14:paraId="2DAC7F5D" w14:textId="77777777" w:rsidR="00D70007" w:rsidRDefault="00D70007" w:rsidP="00D70007">
      <w:pPr>
        <w:spacing w:after="0" w:line="240" w:lineRule="auto"/>
        <w:ind w:left="720"/>
        <w:contextualSpacing/>
        <w:jc w:val="both"/>
        <w:rPr>
          <w:rFonts w:ascii="Arial" w:eastAsia="Calibri" w:hAnsi="Arial" w:cs="Arial"/>
          <w:sz w:val="24"/>
          <w:szCs w:val="24"/>
          <w:lang w:val="en-US"/>
        </w:rPr>
      </w:pPr>
      <w:r w:rsidRPr="005445C9">
        <w:rPr>
          <w:rFonts w:ascii="Arial" w:eastAsia="Calibri" w:hAnsi="Arial" w:cs="Arial"/>
          <w:sz w:val="24"/>
          <w:szCs w:val="24"/>
          <w:lang w:val="en-US"/>
        </w:rPr>
        <w:t>“</w:t>
      </w:r>
      <w:r w:rsidRPr="005445C9">
        <w:rPr>
          <w:rFonts w:ascii="Arial" w:eastAsia="Calibri" w:hAnsi="Arial" w:cs="Arial"/>
          <w:i/>
          <w:iCs/>
          <w:sz w:val="24"/>
          <w:szCs w:val="24"/>
          <w:lang w:val="en-US"/>
        </w:rPr>
        <w:t>The use of video technology should remain a last resort, and people must continue to arrange physical witnessing of wills where it is safe to do so.</w:t>
      </w:r>
      <w:r w:rsidRPr="005445C9">
        <w:rPr>
          <w:rFonts w:ascii="Arial" w:eastAsia="Calibri" w:hAnsi="Arial" w:cs="Arial"/>
          <w:sz w:val="24"/>
          <w:szCs w:val="24"/>
          <w:lang w:val="en-US"/>
        </w:rPr>
        <w:t xml:space="preserve">” </w:t>
      </w:r>
    </w:p>
    <w:p w14:paraId="4D9ECFA0" w14:textId="77777777" w:rsidR="00D70007" w:rsidRDefault="00D70007" w:rsidP="00D70007">
      <w:pPr>
        <w:spacing w:after="0" w:line="240" w:lineRule="auto"/>
        <w:ind w:left="357"/>
        <w:contextualSpacing/>
        <w:jc w:val="both"/>
        <w:rPr>
          <w:rFonts w:ascii="Arial" w:eastAsia="Calibri" w:hAnsi="Arial" w:cs="Arial"/>
          <w:sz w:val="24"/>
          <w:szCs w:val="24"/>
          <w:lang w:val="en-US"/>
        </w:rPr>
      </w:pPr>
    </w:p>
    <w:p w14:paraId="609019D8" w14:textId="0BDF10A7" w:rsidR="00D70007" w:rsidRDefault="00D70007" w:rsidP="00D70007">
      <w:pPr>
        <w:spacing w:after="0" w:line="240" w:lineRule="auto"/>
        <w:ind w:left="357"/>
        <w:contextualSpacing/>
        <w:jc w:val="both"/>
        <w:rPr>
          <w:rFonts w:ascii="Arial" w:eastAsia="Calibri" w:hAnsi="Arial" w:cs="Arial"/>
          <w:sz w:val="24"/>
          <w:szCs w:val="24"/>
          <w:lang w:val="en-US"/>
        </w:rPr>
      </w:pPr>
      <w:r>
        <w:rPr>
          <w:rFonts w:ascii="Arial" w:eastAsia="Calibri" w:hAnsi="Arial" w:cs="Arial"/>
          <w:sz w:val="24"/>
          <w:szCs w:val="24"/>
          <w:lang w:val="en-US"/>
        </w:rPr>
        <w:t>However, there is no means of enforcing this so people are free to choose this method if they wish to.</w:t>
      </w:r>
    </w:p>
    <w:p w14:paraId="078E8906" w14:textId="022B610F" w:rsidR="00E700A3" w:rsidRDefault="00E700A3" w:rsidP="00D70007">
      <w:pPr>
        <w:spacing w:after="0" w:line="240" w:lineRule="auto"/>
        <w:ind w:left="357"/>
        <w:contextualSpacing/>
        <w:jc w:val="both"/>
        <w:rPr>
          <w:rFonts w:ascii="Arial" w:eastAsia="Calibri" w:hAnsi="Arial" w:cs="Arial"/>
          <w:sz w:val="24"/>
          <w:szCs w:val="24"/>
          <w:lang w:val="en-US"/>
        </w:rPr>
      </w:pPr>
    </w:p>
    <w:p w14:paraId="3EE92349" w14:textId="77777777" w:rsidR="00E700A3" w:rsidRDefault="00E700A3" w:rsidP="00E700A3">
      <w:pPr>
        <w:spacing w:after="0" w:line="240" w:lineRule="auto"/>
        <w:ind w:left="357"/>
        <w:contextualSpacing/>
        <w:jc w:val="both"/>
        <w:rPr>
          <w:rFonts w:ascii="Arial" w:eastAsia="Calibri" w:hAnsi="Arial" w:cs="Arial"/>
          <w:sz w:val="24"/>
          <w:szCs w:val="24"/>
          <w:lang w:val="en-US"/>
        </w:rPr>
      </w:pPr>
      <w:r w:rsidRPr="005445C9">
        <w:rPr>
          <w:rFonts w:ascii="Arial" w:eastAsia="Calibri" w:hAnsi="Arial" w:cs="Arial"/>
          <w:sz w:val="24"/>
          <w:szCs w:val="24"/>
          <w:lang w:val="en-US"/>
        </w:rPr>
        <w:t>The procedure is cumbersome. If the will has to be posted to the witnesses</w:t>
      </w:r>
      <w:r>
        <w:rPr>
          <w:rFonts w:ascii="Arial" w:eastAsia="Calibri" w:hAnsi="Arial" w:cs="Arial"/>
          <w:sz w:val="24"/>
          <w:szCs w:val="24"/>
          <w:lang w:val="en-US"/>
        </w:rPr>
        <w:t>,</w:t>
      </w:r>
      <w:r w:rsidRPr="005445C9">
        <w:rPr>
          <w:rFonts w:ascii="Arial" w:eastAsia="Calibri" w:hAnsi="Arial" w:cs="Arial"/>
          <w:sz w:val="24"/>
          <w:szCs w:val="24"/>
          <w:lang w:val="en-US"/>
        </w:rPr>
        <w:t xml:space="preserve"> there is the risk that the testator will die before the witnesses sign. If this happens, obviously the will is invalid. Anyone who can arrange physical witnessing would be better off doing so.</w:t>
      </w:r>
    </w:p>
    <w:p w14:paraId="10FB7260" w14:textId="77777777" w:rsidR="00E700A3" w:rsidRDefault="00E700A3" w:rsidP="00E700A3">
      <w:pPr>
        <w:spacing w:after="0" w:line="240" w:lineRule="auto"/>
        <w:ind w:left="357"/>
        <w:contextualSpacing/>
        <w:jc w:val="both"/>
        <w:rPr>
          <w:rFonts w:ascii="Arial" w:eastAsia="Calibri" w:hAnsi="Arial" w:cs="Arial"/>
          <w:sz w:val="24"/>
          <w:szCs w:val="24"/>
          <w:lang w:val="en-US"/>
        </w:rPr>
      </w:pPr>
    </w:p>
    <w:p w14:paraId="195F91F6" w14:textId="77777777" w:rsidR="00E700A3" w:rsidRDefault="00E700A3" w:rsidP="00E700A3">
      <w:pPr>
        <w:spacing w:after="0" w:line="240" w:lineRule="auto"/>
        <w:ind w:left="357"/>
        <w:contextualSpacing/>
        <w:jc w:val="both"/>
        <w:rPr>
          <w:rFonts w:ascii="Arial" w:eastAsia="Calibri" w:hAnsi="Arial" w:cs="Arial"/>
          <w:sz w:val="24"/>
          <w:szCs w:val="24"/>
          <w:lang w:val="en-US"/>
        </w:rPr>
      </w:pPr>
      <w:r>
        <w:rPr>
          <w:rFonts w:ascii="Arial" w:eastAsia="Calibri" w:hAnsi="Arial" w:cs="Arial"/>
          <w:sz w:val="24"/>
          <w:szCs w:val="24"/>
          <w:lang w:val="en-US"/>
        </w:rPr>
        <w:t xml:space="preserve">Having said that, there will be occasions when the procedure will be useful. For example, where someone has tested positive and wants to proceed with execution. </w:t>
      </w:r>
    </w:p>
    <w:p w14:paraId="026F4FFB" w14:textId="77777777" w:rsidR="00E700A3" w:rsidRDefault="00E700A3" w:rsidP="00E700A3">
      <w:pPr>
        <w:spacing w:after="0" w:line="240" w:lineRule="auto"/>
        <w:ind w:left="357"/>
        <w:contextualSpacing/>
        <w:jc w:val="both"/>
        <w:rPr>
          <w:rFonts w:ascii="Arial" w:eastAsia="Calibri" w:hAnsi="Arial" w:cs="Arial"/>
          <w:sz w:val="24"/>
          <w:szCs w:val="24"/>
          <w:lang w:val="en-US"/>
        </w:rPr>
      </w:pPr>
    </w:p>
    <w:p w14:paraId="035BF9D9" w14:textId="77777777" w:rsidR="00E700A3" w:rsidRDefault="00E700A3" w:rsidP="00E700A3">
      <w:pPr>
        <w:spacing w:after="0" w:line="240" w:lineRule="auto"/>
        <w:ind w:left="357"/>
        <w:contextualSpacing/>
        <w:jc w:val="both"/>
        <w:rPr>
          <w:rFonts w:ascii="Arial" w:eastAsia="Calibri" w:hAnsi="Arial" w:cs="Arial"/>
          <w:sz w:val="24"/>
          <w:szCs w:val="24"/>
          <w:lang w:val="en-US"/>
        </w:rPr>
      </w:pPr>
      <w:r>
        <w:rPr>
          <w:rFonts w:ascii="Arial" w:eastAsia="Calibri" w:hAnsi="Arial" w:cs="Arial"/>
          <w:sz w:val="24"/>
          <w:szCs w:val="24"/>
          <w:lang w:val="en-US"/>
        </w:rPr>
        <w:t>Life will be much easier if the two witnesses can be physically together as that will reduce the occasions when the parties have to be in communication with each other and speed up the process.</w:t>
      </w:r>
    </w:p>
    <w:p w14:paraId="55372090" w14:textId="77777777" w:rsidR="00E700A3" w:rsidRDefault="00E700A3" w:rsidP="00D70007">
      <w:pPr>
        <w:spacing w:after="0" w:line="240" w:lineRule="auto"/>
        <w:ind w:left="357"/>
        <w:contextualSpacing/>
        <w:jc w:val="both"/>
        <w:rPr>
          <w:rFonts w:ascii="Arial" w:eastAsia="Calibri" w:hAnsi="Arial" w:cs="Arial"/>
          <w:sz w:val="24"/>
          <w:szCs w:val="24"/>
          <w:lang w:val="en-US"/>
        </w:rPr>
      </w:pPr>
    </w:p>
    <w:p w14:paraId="79ECA729" w14:textId="77777777" w:rsidR="005D43DF" w:rsidRPr="00F35102" w:rsidRDefault="005D43DF" w:rsidP="005D43DF">
      <w:pPr>
        <w:spacing w:after="0" w:line="240" w:lineRule="auto"/>
        <w:ind w:left="357"/>
        <w:contextualSpacing/>
        <w:jc w:val="both"/>
        <w:rPr>
          <w:rFonts w:ascii="Arial" w:eastAsia="Times New Roman" w:hAnsi="Arial" w:cs="Arial"/>
          <w:b/>
          <w:bCs/>
          <w:color w:val="000000"/>
          <w:sz w:val="24"/>
          <w:szCs w:val="24"/>
          <w:lang w:eastAsia="en-GB"/>
        </w:rPr>
      </w:pPr>
      <w:r w:rsidRPr="00F35102">
        <w:rPr>
          <w:rFonts w:ascii="Arial" w:eastAsia="Calibri" w:hAnsi="Arial" w:cs="Arial"/>
          <w:b/>
          <w:bCs/>
          <w:sz w:val="24"/>
          <w:szCs w:val="24"/>
          <w:lang w:val="en-US"/>
        </w:rPr>
        <w:t>Possible attestation clause w</w:t>
      </w:r>
      <w:r w:rsidRPr="00F35102">
        <w:rPr>
          <w:rFonts w:ascii="Arial" w:eastAsia="Times New Roman" w:hAnsi="Arial" w:cs="Arial"/>
          <w:b/>
          <w:bCs/>
          <w:color w:val="000000"/>
          <w:sz w:val="24"/>
          <w:szCs w:val="24"/>
          <w:lang w:eastAsia="en-GB"/>
        </w:rPr>
        <w:t>here both witnesses are witnessing remotely</w:t>
      </w:r>
    </w:p>
    <w:p w14:paraId="06D5BA39" w14:textId="77777777" w:rsidR="005D43DF" w:rsidRPr="00151485" w:rsidRDefault="005D43DF" w:rsidP="005D43DF">
      <w:pPr>
        <w:spacing w:before="100" w:beforeAutospacing="1" w:after="120" w:line="240" w:lineRule="auto"/>
        <w:ind w:left="720"/>
        <w:jc w:val="both"/>
        <w:rPr>
          <w:rFonts w:ascii="Arial" w:eastAsia="Times New Roman" w:hAnsi="Arial" w:cs="Arial"/>
          <w:b/>
          <w:color w:val="000000"/>
          <w:sz w:val="24"/>
          <w:szCs w:val="24"/>
          <w:lang w:eastAsia="en-GB"/>
        </w:rPr>
      </w:pPr>
      <w:r w:rsidRPr="00151485">
        <w:rPr>
          <w:rFonts w:ascii="Arial" w:eastAsia="Times New Roman" w:hAnsi="Arial" w:cs="Arial"/>
          <w:b/>
          <w:color w:val="000000"/>
          <w:sz w:val="24"/>
          <w:szCs w:val="24"/>
          <w:lang w:eastAsia="en-GB"/>
        </w:rPr>
        <w:t>Testator</w:t>
      </w:r>
    </w:p>
    <w:p w14:paraId="5055C697" w14:textId="77777777" w:rsidR="005D43DF" w:rsidRPr="00647C09" w:rsidRDefault="005D43DF" w:rsidP="005D43DF">
      <w:pPr>
        <w:spacing w:before="120" w:after="100" w:afterAutospacing="1" w:line="240" w:lineRule="auto"/>
        <w:ind w:left="720"/>
        <w:jc w:val="both"/>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S</w:t>
      </w:r>
      <w:r w:rsidRPr="00647C09">
        <w:rPr>
          <w:rFonts w:ascii="Arial" w:eastAsia="Times New Roman" w:hAnsi="Arial" w:cs="Arial"/>
          <w:bCs/>
          <w:color w:val="000000"/>
          <w:sz w:val="24"/>
          <w:szCs w:val="24"/>
          <w:lang w:eastAsia="en-GB"/>
        </w:rPr>
        <w:t>ign</w:t>
      </w:r>
      <w:r>
        <w:rPr>
          <w:rFonts w:ascii="Arial" w:eastAsia="Times New Roman" w:hAnsi="Arial" w:cs="Arial"/>
          <w:bCs/>
          <w:color w:val="000000"/>
          <w:sz w:val="24"/>
          <w:szCs w:val="24"/>
          <w:lang w:eastAsia="en-GB"/>
        </w:rPr>
        <w:t>ed</w:t>
      </w:r>
      <w:r w:rsidRPr="00647C09">
        <w:rPr>
          <w:rFonts w:ascii="Arial" w:eastAsia="Times New Roman" w:hAnsi="Arial" w:cs="Arial"/>
          <w:bCs/>
          <w:color w:val="000000"/>
          <w:sz w:val="24"/>
          <w:szCs w:val="24"/>
          <w:lang w:eastAsia="en-GB"/>
        </w:rPr>
        <w:t xml:space="preserve"> </w:t>
      </w:r>
      <w:r>
        <w:rPr>
          <w:rFonts w:ascii="Arial" w:eastAsia="Times New Roman" w:hAnsi="Arial" w:cs="Arial"/>
          <w:bCs/>
          <w:color w:val="000000"/>
          <w:sz w:val="24"/>
          <w:szCs w:val="24"/>
          <w:lang w:eastAsia="en-GB"/>
        </w:rPr>
        <w:t>by me</w:t>
      </w:r>
      <w:r w:rsidRPr="00647C09">
        <w:rPr>
          <w:rFonts w:ascii="Arial" w:eastAsia="Times New Roman" w:hAnsi="Arial" w:cs="Arial"/>
          <w:bCs/>
          <w:color w:val="000000"/>
          <w:sz w:val="24"/>
          <w:szCs w:val="24"/>
          <w:lang w:eastAsia="en-GB"/>
        </w:rPr>
        <w:t xml:space="preserve"> </w:t>
      </w:r>
      <w:r>
        <w:rPr>
          <w:rFonts w:ascii="Arial" w:eastAsia="Times New Roman" w:hAnsi="Arial" w:cs="Arial"/>
          <w:bCs/>
          <w:color w:val="000000"/>
          <w:sz w:val="24"/>
          <w:szCs w:val="24"/>
          <w:lang w:eastAsia="en-GB"/>
        </w:rPr>
        <w:t>in the joint virtual presence of</w:t>
      </w:r>
      <w:r w:rsidRPr="00647C09">
        <w:rPr>
          <w:rFonts w:ascii="Arial" w:eastAsia="Times New Roman" w:hAnsi="Arial" w:cs="Arial"/>
          <w:bCs/>
          <w:color w:val="000000"/>
          <w:sz w:val="24"/>
          <w:szCs w:val="24"/>
          <w:lang w:eastAsia="en-GB"/>
        </w:rPr>
        <w:t xml:space="preserve"> these two witnesses, who are witnessing me doing this remotely </w:t>
      </w:r>
      <w:r>
        <w:rPr>
          <w:rFonts w:ascii="Arial" w:eastAsia="Times New Roman" w:hAnsi="Arial" w:cs="Arial"/>
          <w:bCs/>
          <w:color w:val="000000"/>
          <w:sz w:val="24"/>
          <w:szCs w:val="24"/>
          <w:lang w:eastAsia="en-GB"/>
        </w:rPr>
        <w:t>via a video-conferencing link</w:t>
      </w:r>
    </w:p>
    <w:p w14:paraId="05B07D4E" w14:textId="77777777" w:rsidR="005D43DF" w:rsidRDefault="005D43DF" w:rsidP="005D43DF">
      <w:pPr>
        <w:spacing w:before="100" w:beforeAutospacing="1" w:after="100" w:afterAutospacing="1" w:line="240" w:lineRule="auto"/>
        <w:ind w:left="720"/>
        <w:jc w:val="right"/>
        <w:rPr>
          <w:rFonts w:ascii="Arial" w:eastAsia="Times New Roman" w:hAnsi="Arial" w:cs="Arial"/>
          <w:bCs/>
          <w:color w:val="000000"/>
          <w:sz w:val="24"/>
          <w:szCs w:val="24"/>
          <w:lang w:eastAsia="en-GB"/>
        </w:rPr>
      </w:pPr>
      <w:r w:rsidRPr="00647C09">
        <w:rPr>
          <w:rFonts w:ascii="Arial" w:eastAsia="Times New Roman" w:hAnsi="Arial" w:cs="Arial"/>
          <w:bCs/>
          <w:color w:val="000000"/>
          <w:sz w:val="24"/>
          <w:szCs w:val="24"/>
          <w:lang w:eastAsia="en-GB"/>
        </w:rPr>
        <w:t>[signature of testator or testatrix]</w:t>
      </w:r>
    </w:p>
    <w:p w14:paraId="5EC3C2C5" w14:textId="77777777" w:rsidR="005D43DF" w:rsidRPr="00647C09" w:rsidRDefault="005D43DF" w:rsidP="005D43DF">
      <w:pPr>
        <w:spacing w:before="100" w:beforeAutospacing="1" w:after="100" w:afterAutospacing="1" w:line="240" w:lineRule="auto"/>
        <w:ind w:left="720"/>
        <w:jc w:val="right"/>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[Date]</w:t>
      </w:r>
    </w:p>
    <w:p w14:paraId="1713EA91" w14:textId="77777777" w:rsidR="005D43DF" w:rsidRPr="00151485" w:rsidRDefault="005D43DF" w:rsidP="005D43DF">
      <w:pPr>
        <w:spacing w:before="100" w:beforeAutospacing="1" w:after="120" w:line="240" w:lineRule="auto"/>
        <w:ind w:left="720"/>
        <w:jc w:val="both"/>
        <w:rPr>
          <w:rFonts w:ascii="Arial" w:eastAsia="Times New Roman" w:hAnsi="Arial" w:cs="Arial"/>
          <w:b/>
          <w:color w:val="000000"/>
          <w:sz w:val="24"/>
          <w:szCs w:val="24"/>
          <w:lang w:eastAsia="en-GB"/>
        </w:rPr>
      </w:pPr>
      <w:r w:rsidRPr="00151485">
        <w:rPr>
          <w:rFonts w:ascii="Arial" w:eastAsia="Times New Roman" w:hAnsi="Arial" w:cs="Arial"/>
          <w:b/>
          <w:color w:val="000000"/>
          <w:sz w:val="24"/>
          <w:szCs w:val="24"/>
          <w:lang w:eastAsia="en-GB"/>
        </w:rPr>
        <w:t xml:space="preserve">Witnesses </w:t>
      </w:r>
    </w:p>
    <w:p w14:paraId="721A7ED6" w14:textId="77777777" w:rsidR="005D43DF" w:rsidRPr="00647C09" w:rsidRDefault="005D43DF" w:rsidP="005D43DF">
      <w:pPr>
        <w:spacing w:before="120" w:after="100" w:afterAutospacing="1" w:line="240" w:lineRule="auto"/>
        <w:ind w:left="720"/>
        <w:jc w:val="both"/>
        <w:rPr>
          <w:rFonts w:ascii="Arial" w:eastAsia="Times New Roman" w:hAnsi="Arial" w:cs="Arial"/>
          <w:bCs/>
          <w:color w:val="000000"/>
          <w:sz w:val="24"/>
          <w:szCs w:val="24"/>
          <w:lang w:eastAsia="en-GB"/>
        </w:rPr>
      </w:pPr>
      <w:r w:rsidRPr="00647C09">
        <w:rPr>
          <w:rFonts w:ascii="Arial" w:eastAsia="Times New Roman" w:hAnsi="Arial" w:cs="Arial"/>
          <w:bCs/>
          <w:color w:val="000000"/>
          <w:sz w:val="24"/>
          <w:szCs w:val="24"/>
          <w:lang w:eastAsia="en-GB"/>
        </w:rPr>
        <w:t>Signed by me in the virtual presence of [testator</w:t>
      </w:r>
      <w:r>
        <w:rPr>
          <w:rFonts w:ascii="Arial" w:eastAsia="Times New Roman" w:hAnsi="Arial" w:cs="Arial"/>
          <w:bCs/>
          <w:color w:val="000000"/>
          <w:sz w:val="24"/>
          <w:szCs w:val="24"/>
          <w:lang w:eastAsia="en-GB"/>
        </w:rPr>
        <w:t>/</w:t>
      </w:r>
      <w:r w:rsidRPr="00647C09">
        <w:rPr>
          <w:rFonts w:ascii="Arial" w:eastAsia="Times New Roman" w:hAnsi="Arial" w:cs="Arial"/>
          <w:bCs/>
          <w:color w:val="000000"/>
          <w:sz w:val="24"/>
          <w:szCs w:val="24"/>
          <w:lang w:eastAsia="en-GB"/>
        </w:rPr>
        <w:t xml:space="preserve">testatrix] and the </w:t>
      </w:r>
      <w:r>
        <w:rPr>
          <w:rFonts w:ascii="Arial" w:eastAsia="Times New Roman" w:hAnsi="Arial" w:cs="Arial"/>
          <w:bCs/>
          <w:color w:val="000000"/>
          <w:sz w:val="24"/>
          <w:szCs w:val="24"/>
          <w:lang w:eastAsia="en-GB"/>
        </w:rPr>
        <w:t xml:space="preserve">[actual] [virtual] </w:t>
      </w:r>
      <w:r w:rsidRPr="00647C09">
        <w:rPr>
          <w:rFonts w:ascii="Arial" w:eastAsia="Times New Roman" w:hAnsi="Arial" w:cs="Arial"/>
          <w:bCs/>
          <w:color w:val="000000"/>
          <w:sz w:val="24"/>
          <w:szCs w:val="24"/>
          <w:lang w:eastAsia="en-GB"/>
        </w:rPr>
        <w:t xml:space="preserve">presence of [other witness] having watched </w:t>
      </w:r>
      <w:r>
        <w:rPr>
          <w:rFonts w:ascii="Arial" w:eastAsia="Times New Roman" w:hAnsi="Arial" w:cs="Arial"/>
          <w:bCs/>
          <w:color w:val="000000"/>
          <w:sz w:val="24"/>
          <w:szCs w:val="24"/>
          <w:lang w:eastAsia="en-GB"/>
        </w:rPr>
        <w:t>[testator/testatrix]</w:t>
      </w:r>
      <w:r w:rsidRPr="00647C09">
        <w:rPr>
          <w:rFonts w:ascii="Arial" w:eastAsia="Times New Roman" w:hAnsi="Arial" w:cs="Arial"/>
          <w:bCs/>
          <w:color w:val="000000"/>
          <w:sz w:val="24"/>
          <w:szCs w:val="24"/>
          <w:lang w:eastAsia="en-GB"/>
        </w:rPr>
        <w:t xml:space="preserve"> sign </w:t>
      </w:r>
      <w:r>
        <w:rPr>
          <w:rFonts w:ascii="Arial" w:eastAsia="Times New Roman" w:hAnsi="Arial" w:cs="Arial"/>
          <w:bCs/>
          <w:color w:val="000000"/>
          <w:sz w:val="24"/>
          <w:szCs w:val="24"/>
          <w:lang w:eastAsia="en-GB"/>
        </w:rPr>
        <w:t xml:space="preserve">remotely via a video conferencing link </w:t>
      </w:r>
      <w:r w:rsidRPr="00647C09">
        <w:rPr>
          <w:rFonts w:ascii="Arial" w:eastAsia="Times New Roman" w:hAnsi="Arial" w:cs="Arial"/>
          <w:bCs/>
          <w:color w:val="000000"/>
          <w:sz w:val="24"/>
          <w:szCs w:val="24"/>
          <w:lang w:eastAsia="en-GB"/>
        </w:rPr>
        <w:t>on [date]</w:t>
      </w:r>
    </w:p>
    <w:p w14:paraId="7D80C07D" w14:textId="77777777" w:rsidR="005D43DF" w:rsidRDefault="005D43DF" w:rsidP="005D43DF">
      <w:pPr>
        <w:spacing w:before="100" w:beforeAutospacing="1" w:after="100" w:afterAutospacing="1" w:line="240" w:lineRule="auto"/>
        <w:ind w:left="357"/>
        <w:jc w:val="right"/>
        <w:rPr>
          <w:rFonts w:ascii="Arial" w:eastAsia="Times New Roman" w:hAnsi="Arial" w:cs="Arial"/>
          <w:bCs/>
          <w:color w:val="000000"/>
          <w:sz w:val="24"/>
          <w:szCs w:val="24"/>
          <w:lang w:eastAsia="en-GB"/>
        </w:rPr>
      </w:pPr>
      <w:r w:rsidRPr="00647C09">
        <w:rPr>
          <w:rFonts w:ascii="Arial" w:eastAsia="Times New Roman" w:hAnsi="Arial" w:cs="Arial"/>
          <w:bCs/>
          <w:color w:val="000000"/>
          <w:sz w:val="24"/>
          <w:szCs w:val="24"/>
          <w:lang w:eastAsia="en-GB"/>
        </w:rPr>
        <w:t xml:space="preserve">[signature of </w:t>
      </w:r>
      <w:r>
        <w:rPr>
          <w:rFonts w:ascii="Arial" w:eastAsia="Times New Roman" w:hAnsi="Arial" w:cs="Arial"/>
          <w:bCs/>
          <w:color w:val="000000"/>
          <w:sz w:val="24"/>
          <w:szCs w:val="24"/>
          <w:lang w:eastAsia="en-GB"/>
        </w:rPr>
        <w:t>witness</w:t>
      </w:r>
      <w:r w:rsidRPr="00647C09">
        <w:rPr>
          <w:rFonts w:ascii="Arial" w:eastAsia="Times New Roman" w:hAnsi="Arial" w:cs="Arial"/>
          <w:bCs/>
          <w:color w:val="000000"/>
          <w:sz w:val="24"/>
          <w:szCs w:val="24"/>
          <w:lang w:eastAsia="en-GB"/>
        </w:rPr>
        <w:t>]</w:t>
      </w:r>
    </w:p>
    <w:p w14:paraId="4F657937" w14:textId="554B375D" w:rsidR="005D43DF" w:rsidRDefault="005D43DF" w:rsidP="005D43DF">
      <w:pPr>
        <w:spacing w:before="100" w:beforeAutospacing="1" w:after="100" w:afterAutospacing="1" w:line="240" w:lineRule="auto"/>
        <w:ind w:left="357"/>
        <w:jc w:val="right"/>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[Date]</w:t>
      </w:r>
    </w:p>
    <w:p w14:paraId="698D2C89" w14:textId="11ECC47D" w:rsidR="005B511A" w:rsidRDefault="005B511A" w:rsidP="008273B7">
      <w:pPr>
        <w:spacing w:before="100" w:beforeAutospacing="1" w:after="100" w:afterAutospacing="1" w:line="240" w:lineRule="auto"/>
        <w:ind w:left="357"/>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The MoJ has provided a possible clause which it says can be used for guidance. I am not a fan. It mixes attestation with other issues which witnesses may not feel comfortable with, uses ‘legalese’ and does not state expressly that the witnesses signed after the testator. </w:t>
      </w:r>
    </w:p>
    <w:p w14:paraId="74FCA516" w14:textId="77777777" w:rsidR="00690555" w:rsidRDefault="00690555" w:rsidP="00690555">
      <w:pPr>
        <w:spacing w:before="100" w:beforeAutospacing="1" w:after="100" w:afterAutospacing="1" w:line="240" w:lineRule="auto"/>
        <w:ind w:left="357"/>
        <w:rPr>
          <w:rFonts w:ascii="Arial" w:eastAsia="Times New Roman" w:hAnsi="Arial" w:cs="Arial"/>
          <w:bCs/>
          <w:color w:val="000000"/>
          <w:sz w:val="24"/>
          <w:szCs w:val="24"/>
          <w:lang w:eastAsia="en-GB"/>
        </w:rPr>
      </w:pPr>
    </w:p>
    <w:p w14:paraId="05788ADA" w14:textId="7C73792D" w:rsidR="00690555" w:rsidRPr="00690555" w:rsidRDefault="00690555" w:rsidP="00690555">
      <w:pPr>
        <w:spacing w:before="100" w:beforeAutospacing="1" w:after="100" w:afterAutospacing="1" w:line="240" w:lineRule="auto"/>
        <w:ind w:left="1440"/>
        <w:rPr>
          <w:rFonts w:ascii="Arial" w:eastAsia="Times New Roman" w:hAnsi="Arial" w:cs="Arial"/>
          <w:b/>
          <w:color w:val="000000"/>
          <w:sz w:val="24"/>
          <w:szCs w:val="24"/>
          <w:lang w:eastAsia="en-GB"/>
        </w:rPr>
      </w:pPr>
      <w:r w:rsidRPr="00690555">
        <w:rPr>
          <w:rFonts w:ascii="Arial" w:eastAsia="Times New Roman" w:hAnsi="Arial" w:cs="Arial"/>
          <w:b/>
          <w:color w:val="000000"/>
          <w:sz w:val="24"/>
          <w:szCs w:val="24"/>
          <w:lang w:eastAsia="en-GB"/>
        </w:rPr>
        <w:lastRenderedPageBreak/>
        <w:t>MoJ clause</w:t>
      </w:r>
    </w:p>
    <w:p w14:paraId="3AA4A2A3" w14:textId="1175488A" w:rsidR="00690555" w:rsidRPr="00690555" w:rsidRDefault="00690555" w:rsidP="00690555">
      <w:pPr>
        <w:spacing w:before="100" w:beforeAutospacing="1" w:after="100" w:afterAutospacing="1" w:line="240" w:lineRule="auto"/>
        <w:ind w:left="1440"/>
        <w:rPr>
          <w:rFonts w:ascii="Arial" w:eastAsia="Times New Roman" w:hAnsi="Arial" w:cs="Arial"/>
          <w:bCs/>
          <w:i/>
          <w:iCs/>
          <w:color w:val="000000"/>
          <w:sz w:val="24"/>
          <w:szCs w:val="24"/>
          <w:lang w:eastAsia="en-GB"/>
        </w:rPr>
      </w:pPr>
      <w:r w:rsidRPr="00690555">
        <w:rPr>
          <w:rFonts w:ascii="Arial" w:eastAsia="Times New Roman" w:hAnsi="Arial" w:cs="Arial"/>
          <w:bCs/>
          <w:i/>
          <w:iCs/>
          <w:color w:val="000000"/>
          <w:sz w:val="24"/>
          <w:szCs w:val="24"/>
          <w:lang w:eastAsia="en-GB"/>
        </w:rPr>
        <w:t>“We, the undersigned testator and the undersigned witnesses, respectively, whose names are signed to the attached or foregoing instrument declare:</w:t>
      </w:r>
    </w:p>
    <w:p w14:paraId="754E8443" w14:textId="679548D0" w:rsidR="00690555" w:rsidRPr="00690555" w:rsidRDefault="00690555" w:rsidP="00EC70B6">
      <w:pPr>
        <w:pStyle w:val="ListParagraph"/>
        <w:numPr>
          <w:ilvl w:val="1"/>
          <w:numId w:val="3"/>
        </w:numPr>
        <w:spacing w:before="100" w:beforeAutospacing="1" w:after="100" w:afterAutospacing="1" w:line="240" w:lineRule="auto"/>
        <w:ind w:left="1985" w:hanging="567"/>
        <w:rPr>
          <w:rFonts w:ascii="Arial" w:eastAsia="Times New Roman" w:hAnsi="Arial" w:cs="Arial"/>
          <w:bCs/>
          <w:i/>
          <w:iCs/>
          <w:color w:val="000000"/>
          <w:sz w:val="24"/>
          <w:szCs w:val="24"/>
          <w:lang w:eastAsia="en-GB"/>
        </w:rPr>
      </w:pPr>
      <w:r w:rsidRPr="00690555">
        <w:rPr>
          <w:rFonts w:ascii="Arial" w:eastAsia="Times New Roman" w:hAnsi="Arial" w:cs="Arial"/>
          <w:bCs/>
          <w:i/>
          <w:iCs/>
          <w:color w:val="000000"/>
          <w:sz w:val="24"/>
          <w:szCs w:val="24"/>
          <w:lang w:eastAsia="en-GB"/>
        </w:rPr>
        <w:t>that the testator executed the instrument as the testator's will;</w:t>
      </w:r>
    </w:p>
    <w:p w14:paraId="65174560" w14:textId="77777777" w:rsidR="00690555" w:rsidRPr="00690555" w:rsidRDefault="00690555" w:rsidP="00690555">
      <w:pPr>
        <w:pStyle w:val="ListParagraph"/>
        <w:spacing w:before="100" w:beforeAutospacing="1" w:after="100" w:afterAutospacing="1" w:line="240" w:lineRule="auto"/>
        <w:ind w:left="1985"/>
        <w:rPr>
          <w:rFonts w:ascii="Arial" w:eastAsia="Times New Roman" w:hAnsi="Arial" w:cs="Arial"/>
          <w:bCs/>
          <w:i/>
          <w:iCs/>
          <w:color w:val="000000"/>
          <w:sz w:val="24"/>
          <w:szCs w:val="24"/>
          <w:lang w:eastAsia="en-GB"/>
        </w:rPr>
      </w:pPr>
    </w:p>
    <w:p w14:paraId="6C974659" w14:textId="7BC36C9F" w:rsidR="00690555" w:rsidRPr="00690555" w:rsidRDefault="00690555" w:rsidP="00EC70B6">
      <w:pPr>
        <w:pStyle w:val="ListParagraph"/>
        <w:numPr>
          <w:ilvl w:val="1"/>
          <w:numId w:val="3"/>
        </w:numPr>
        <w:spacing w:before="100" w:beforeAutospacing="1" w:after="100" w:afterAutospacing="1" w:line="240" w:lineRule="auto"/>
        <w:ind w:left="1985" w:hanging="567"/>
        <w:rPr>
          <w:rFonts w:ascii="Arial" w:eastAsia="Times New Roman" w:hAnsi="Arial" w:cs="Arial"/>
          <w:bCs/>
          <w:i/>
          <w:iCs/>
          <w:color w:val="000000"/>
          <w:sz w:val="24"/>
          <w:szCs w:val="24"/>
          <w:lang w:eastAsia="en-GB"/>
        </w:rPr>
      </w:pPr>
      <w:r w:rsidRPr="00690555">
        <w:rPr>
          <w:rFonts w:ascii="Arial" w:eastAsia="Times New Roman" w:hAnsi="Arial" w:cs="Arial"/>
          <w:bCs/>
          <w:i/>
          <w:iCs/>
          <w:color w:val="000000"/>
          <w:sz w:val="24"/>
          <w:szCs w:val="24"/>
          <w:lang w:eastAsia="en-GB"/>
        </w:rPr>
        <w:t>that, [on x date], in the presence [by video conference] of both witnesses, the testator [signed the instrument]/[ acknowledged the signature already made on the instrument]/[ the instrument was signed by [X/another] in the physical presence of the testator as directed by the testator];</w:t>
      </w:r>
    </w:p>
    <w:p w14:paraId="0C699AC3" w14:textId="77777777" w:rsidR="00690555" w:rsidRPr="00690555" w:rsidRDefault="00690555" w:rsidP="00690555">
      <w:pPr>
        <w:pStyle w:val="ListParagraph"/>
        <w:spacing w:before="100" w:beforeAutospacing="1" w:after="100" w:afterAutospacing="1" w:line="240" w:lineRule="auto"/>
        <w:ind w:left="1985"/>
        <w:rPr>
          <w:rFonts w:ascii="Arial" w:eastAsia="Times New Roman" w:hAnsi="Arial" w:cs="Arial"/>
          <w:bCs/>
          <w:i/>
          <w:iCs/>
          <w:color w:val="000000"/>
          <w:sz w:val="24"/>
          <w:szCs w:val="24"/>
          <w:lang w:eastAsia="en-GB"/>
        </w:rPr>
      </w:pPr>
    </w:p>
    <w:p w14:paraId="030DE598" w14:textId="48CD70B5" w:rsidR="00690555" w:rsidRPr="00690555" w:rsidRDefault="00690555" w:rsidP="00EC70B6">
      <w:pPr>
        <w:pStyle w:val="ListParagraph"/>
        <w:numPr>
          <w:ilvl w:val="1"/>
          <w:numId w:val="3"/>
        </w:numPr>
        <w:spacing w:before="100" w:beforeAutospacing="1" w:after="100" w:afterAutospacing="1" w:line="240" w:lineRule="auto"/>
        <w:ind w:left="1985" w:hanging="567"/>
        <w:rPr>
          <w:rFonts w:ascii="Arial" w:eastAsia="Times New Roman" w:hAnsi="Arial" w:cs="Arial"/>
          <w:bCs/>
          <w:i/>
          <w:iCs/>
          <w:color w:val="000000"/>
          <w:sz w:val="24"/>
          <w:szCs w:val="24"/>
          <w:lang w:eastAsia="en-GB"/>
        </w:rPr>
      </w:pPr>
      <w:r w:rsidRPr="00690555">
        <w:rPr>
          <w:rFonts w:ascii="Arial" w:eastAsia="Times New Roman" w:hAnsi="Arial" w:cs="Arial"/>
          <w:bCs/>
          <w:i/>
          <w:iCs/>
          <w:color w:val="000000"/>
          <w:sz w:val="24"/>
          <w:szCs w:val="24"/>
          <w:lang w:eastAsia="en-GB"/>
        </w:rPr>
        <w:t>that, to the best of our knowledge and belief, the testator executed the will as a free and voluntary act for the purposes expressed in it;</w:t>
      </w:r>
    </w:p>
    <w:p w14:paraId="4CF206DE" w14:textId="77777777" w:rsidR="00690555" w:rsidRPr="00690555" w:rsidRDefault="00690555" w:rsidP="00690555">
      <w:pPr>
        <w:pStyle w:val="ListParagraph"/>
        <w:spacing w:before="100" w:beforeAutospacing="1" w:after="100" w:afterAutospacing="1" w:line="240" w:lineRule="auto"/>
        <w:ind w:left="1985"/>
        <w:rPr>
          <w:rFonts w:ascii="Arial" w:eastAsia="Times New Roman" w:hAnsi="Arial" w:cs="Arial"/>
          <w:bCs/>
          <w:i/>
          <w:iCs/>
          <w:color w:val="000000"/>
          <w:sz w:val="24"/>
          <w:szCs w:val="24"/>
          <w:lang w:eastAsia="en-GB"/>
        </w:rPr>
      </w:pPr>
    </w:p>
    <w:p w14:paraId="54EF8A80" w14:textId="51F1D753" w:rsidR="00690555" w:rsidRPr="00690555" w:rsidRDefault="00690555" w:rsidP="00EC70B6">
      <w:pPr>
        <w:pStyle w:val="ListParagraph"/>
        <w:numPr>
          <w:ilvl w:val="1"/>
          <w:numId w:val="3"/>
        </w:numPr>
        <w:spacing w:before="100" w:beforeAutospacing="1" w:after="100" w:afterAutospacing="1" w:line="240" w:lineRule="auto"/>
        <w:ind w:left="1985" w:hanging="567"/>
        <w:rPr>
          <w:rFonts w:ascii="Arial" w:eastAsia="Times New Roman" w:hAnsi="Arial" w:cs="Arial"/>
          <w:bCs/>
          <w:i/>
          <w:iCs/>
          <w:color w:val="000000"/>
          <w:sz w:val="24"/>
          <w:szCs w:val="24"/>
          <w:lang w:eastAsia="en-GB"/>
        </w:rPr>
      </w:pPr>
      <w:r w:rsidRPr="00690555">
        <w:rPr>
          <w:rFonts w:ascii="Arial" w:eastAsia="Times New Roman" w:hAnsi="Arial" w:cs="Arial"/>
          <w:bCs/>
          <w:i/>
          <w:iCs/>
          <w:color w:val="000000"/>
          <w:sz w:val="24"/>
          <w:szCs w:val="24"/>
          <w:lang w:eastAsia="en-GB"/>
        </w:rPr>
        <w:t>that, to the best of the witnesses' knowledge and belief, the testator was of sound mind when the will was executed.”</w:t>
      </w:r>
    </w:p>
    <w:p w14:paraId="034F20D4" w14:textId="1B563302" w:rsidR="008273B7" w:rsidRDefault="005B511A" w:rsidP="00690555">
      <w:pPr>
        <w:spacing w:before="100" w:beforeAutospacing="1" w:after="100" w:afterAutospacing="1" w:line="240" w:lineRule="auto"/>
        <w:ind w:left="357"/>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An amended attestation clause dealing solely with formalities is preferable although it is sensible </w:t>
      </w:r>
      <w:r w:rsidR="008273B7">
        <w:rPr>
          <w:rFonts w:ascii="Arial" w:eastAsia="Times New Roman" w:hAnsi="Arial" w:cs="Arial"/>
          <w:bCs/>
          <w:color w:val="000000"/>
          <w:sz w:val="24"/>
          <w:szCs w:val="24"/>
          <w:lang w:eastAsia="en-GB"/>
        </w:rPr>
        <w:t xml:space="preserve">to prepare a supporting document setting out: </w:t>
      </w:r>
    </w:p>
    <w:p w14:paraId="4197DB2E" w14:textId="3F2A4567" w:rsidR="008273B7" w:rsidRDefault="008273B7" w:rsidP="00EC70B6">
      <w:pPr>
        <w:pStyle w:val="ListParagraph"/>
        <w:numPr>
          <w:ilvl w:val="0"/>
          <w:numId w:val="24"/>
        </w:numPr>
        <w:spacing w:after="0" w:line="240" w:lineRule="auto"/>
        <w:rPr>
          <w:rFonts w:ascii="Arial" w:eastAsia="Times New Roman" w:hAnsi="Arial" w:cs="Arial"/>
          <w:bCs/>
          <w:color w:val="000000"/>
          <w:sz w:val="24"/>
          <w:szCs w:val="24"/>
          <w:lang w:eastAsia="en-GB"/>
        </w:rPr>
      </w:pPr>
      <w:r w:rsidRPr="008273B7">
        <w:rPr>
          <w:rFonts w:ascii="Arial" w:eastAsia="Times New Roman" w:hAnsi="Arial" w:cs="Arial"/>
          <w:bCs/>
          <w:color w:val="000000"/>
          <w:sz w:val="24"/>
          <w:szCs w:val="24"/>
          <w:lang w:eastAsia="en-GB"/>
        </w:rPr>
        <w:t>The reason the will was executed remotely</w:t>
      </w:r>
      <w:r>
        <w:rPr>
          <w:rFonts w:ascii="Arial" w:eastAsia="Times New Roman" w:hAnsi="Arial" w:cs="Arial"/>
          <w:bCs/>
          <w:color w:val="000000"/>
          <w:sz w:val="24"/>
          <w:szCs w:val="24"/>
          <w:lang w:eastAsia="en-GB"/>
        </w:rPr>
        <w:t>.</w:t>
      </w:r>
    </w:p>
    <w:p w14:paraId="7F3C7902" w14:textId="77777777" w:rsidR="008273B7" w:rsidRPr="008273B7" w:rsidRDefault="008273B7" w:rsidP="008273B7">
      <w:pPr>
        <w:pStyle w:val="ListParagraph"/>
        <w:spacing w:after="0" w:line="120" w:lineRule="auto"/>
        <w:ind w:left="1077"/>
        <w:rPr>
          <w:rFonts w:ascii="Arial" w:eastAsia="Times New Roman" w:hAnsi="Arial" w:cs="Arial"/>
          <w:bCs/>
          <w:color w:val="000000"/>
          <w:sz w:val="24"/>
          <w:szCs w:val="24"/>
          <w:lang w:eastAsia="en-GB"/>
        </w:rPr>
      </w:pPr>
    </w:p>
    <w:p w14:paraId="3BBE11F7" w14:textId="77777777" w:rsidR="008273B7" w:rsidRDefault="008273B7" w:rsidP="00EC70B6">
      <w:pPr>
        <w:pStyle w:val="ListParagraph"/>
        <w:numPr>
          <w:ilvl w:val="0"/>
          <w:numId w:val="24"/>
        </w:numPr>
        <w:spacing w:after="0" w:line="240" w:lineRule="auto"/>
        <w:rPr>
          <w:rFonts w:ascii="Arial" w:eastAsia="Times New Roman" w:hAnsi="Arial" w:cs="Arial"/>
          <w:bCs/>
          <w:color w:val="000000"/>
          <w:sz w:val="24"/>
          <w:szCs w:val="24"/>
          <w:lang w:eastAsia="en-GB"/>
        </w:rPr>
      </w:pPr>
      <w:r w:rsidRPr="008273B7">
        <w:rPr>
          <w:rFonts w:ascii="Arial" w:eastAsia="Times New Roman" w:hAnsi="Arial" w:cs="Arial"/>
          <w:bCs/>
          <w:color w:val="000000"/>
          <w:sz w:val="24"/>
          <w:szCs w:val="24"/>
          <w:lang w:eastAsia="en-GB"/>
        </w:rPr>
        <w:t xml:space="preserve">Evidence suggesting that </w:t>
      </w:r>
    </w:p>
    <w:p w14:paraId="05C4107E" w14:textId="77777777" w:rsidR="008273B7" w:rsidRPr="008273B7" w:rsidRDefault="008273B7" w:rsidP="008273B7">
      <w:pPr>
        <w:pStyle w:val="ListParagraph"/>
        <w:spacing w:after="0" w:line="120" w:lineRule="auto"/>
        <w:rPr>
          <w:rFonts w:ascii="Arial" w:eastAsia="Times New Roman" w:hAnsi="Arial" w:cs="Arial"/>
          <w:bCs/>
          <w:color w:val="000000"/>
          <w:sz w:val="24"/>
          <w:szCs w:val="24"/>
          <w:lang w:eastAsia="en-GB"/>
        </w:rPr>
      </w:pPr>
    </w:p>
    <w:p w14:paraId="78758455" w14:textId="76501FD2" w:rsidR="008273B7" w:rsidRDefault="008273B7" w:rsidP="00EC70B6">
      <w:pPr>
        <w:pStyle w:val="ListParagraph"/>
        <w:numPr>
          <w:ilvl w:val="0"/>
          <w:numId w:val="25"/>
        </w:numPr>
        <w:spacing w:before="120" w:after="120" w:line="240" w:lineRule="auto"/>
        <w:ind w:left="1559" w:hanging="357"/>
        <w:rPr>
          <w:rFonts w:ascii="Arial" w:eastAsia="Times New Roman" w:hAnsi="Arial" w:cs="Arial"/>
          <w:bCs/>
          <w:color w:val="000000"/>
          <w:sz w:val="24"/>
          <w:szCs w:val="24"/>
          <w:lang w:eastAsia="en-GB"/>
        </w:rPr>
      </w:pPr>
      <w:r w:rsidRPr="008273B7">
        <w:rPr>
          <w:rFonts w:ascii="Arial" w:eastAsia="Times New Roman" w:hAnsi="Arial" w:cs="Arial"/>
          <w:bCs/>
          <w:color w:val="000000"/>
          <w:sz w:val="24"/>
          <w:szCs w:val="24"/>
          <w:lang w:eastAsia="en-GB"/>
        </w:rPr>
        <w:t>T appeared to have testamentary capacity when giving instructions and when executing</w:t>
      </w:r>
      <w:r>
        <w:rPr>
          <w:rFonts w:ascii="Arial" w:eastAsia="Times New Roman" w:hAnsi="Arial" w:cs="Arial"/>
          <w:bCs/>
          <w:color w:val="000000"/>
          <w:sz w:val="24"/>
          <w:szCs w:val="24"/>
          <w:lang w:eastAsia="en-GB"/>
        </w:rPr>
        <w:t>;</w:t>
      </w:r>
    </w:p>
    <w:p w14:paraId="379BEF64" w14:textId="0E691871" w:rsidR="008273B7" w:rsidRDefault="008273B7" w:rsidP="00EC70B6">
      <w:pPr>
        <w:pStyle w:val="ListParagraph"/>
        <w:numPr>
          <w:ilvl w:val="0"/>
          <w:numId w:val="25"/>
        </w:numPr>
        <w:spacing w:before="120" w:after="120" w:line="240" w:lineRule="auto"/>
        <w:ind w:left="1559" w:hanging="357"/>
        <w:rPr>
          <w:rFonts w:ascii="Arial" w:eastAsia="Times New Roman" w:hAnsi="Arial" w:cs="Arial"/>
          <w:bCs/>
          <w:color w:val="000000"/>
          <w:sz w:val="24"/>
          <w:szCs w:val="24"/>
          <w:lang w:eastAsia="en-GB"/>
        </w:rPr>
      </w:pPr>
      <w:r w:rsidRPr="008273B7">
        <w:rPr>
          <w:rFonts w:ascii="Arial" w:eastAsia="Times New Roman" w:hAnsi="Arial" w:cs="Arial"/>
          <w:bCs/>
          <w:color w:val="000000"/>
          <w:sz w:val="24"/>
          <w:szCs w:val="24"/>
          <w:lang w:eastAsia="en-GB"/>
        </w:rPr>
        <w:t>T knew and approved the contents of the will</w:t>
      </w:r>
      <w:r>
        <w:rPr>
          <w:rFonts w:ascii="Arial" w:eastAsia="Times New Roman" w:hAnsi="Arial" w:cs="Arial"/>
          <w:bCs/>
          <w:color w:val="000000"/>
          <w:sz w:val="24"/>
          <w:szCs w:val="24"/>
          <w:lang w:eastAsia="en-GB"/>
        </w:rPr>
        <w:t>;</w:t>
      </w:r>
    </w:p>
    <w:p w14:paraId="1F7A32F2" w14:textId="6446C0C1" w:rsidR="008273B7" w:rsidRDefault="008273B7" w:rsidP="00EC70B6">
      <w:pPr>
        <w:pStyle w:val="ListParagraph"/>
        <w:numPr>
          <w:ilvl w:val="0"/>
          <w:numId w:val="25"/>
        </w:numPr>
        <w:spacing w:before="120" w:after="120" w:line="240" w:lineRule="auto"/>
        <w:ind w:left="1559" w:hanging="357"/>
        <w:rPr>
          <w:rFonts w:ascii="Arial" w:eastAsia="Times New Roman" w:hAnsi="Arial" w:cs="Arial"/>
          <w:bCs/>
          <w:color w:val="000000"/>
          <w:sz w:val="24"/>
          <w:szCs w:val="24"/>
          <w:lang w:eastAsia="en-GB"/>
        </w:rPr>
      </w:pPr>
      <w:r w:rsidRPr="008273B7">
        <w:rPr>
          <w:rFonts w:ascii="Arial" w:eastAsia="Times New Roman" w:hAnsi="Arial" w:cs="Arial"/>
          <w:bCs/>
          <w:color w:val="000000"/>
          <w:sz w:val="24"/>
          <w:szCs w:val="24"/>
          <w:lang w:eastAsia="en-GB"/>
        </w:rPr>
        <w:t>T was not subject to undue influence</w:t>
      </w:r>
      <w:r>
        <w:rPr>
          <w:rFonts w:ascii="Arial" w:eastAsia="Times New Roman" w:hAnsi="Arial" w:cs="Arial"/>
          <w:bCs/>
          <w:color w:val="000000"/>
          <w:sz w:val="24"/>
          <w:szCs w:val="24"/>
          <w:lang w:eastAsia="en-GB"/>
        </w:rPr>
        <w:t>.</w:t>
      </w:r>
    </w:p>
    <w:p w14:paraId="095D9BC3" w14:textId="0325CA06" w:rsidR="000575C5" w:rsidRDefault="000575C5" w:rsidP="000575C5">
      <w:pPr>
        <w:spacing w:before="120" w:after="120" w:line="240" w:lineRule="auto"/>
        <w:rPr>
          <w:rFonts w:ascii="Arial" w:eastAsia="Times New Roman" w:hAnsi="Arial" w:cs="Arial"/>
          <w:bCs/>
          <w:color w:val="000000"/>
          <w:sz w:val="24"/>
          <w:szCs w:val="24"/>
          <w:lang w:eastAsia="en-GB"/>
        </w:rPr>
      </w:pPr>
    </w:p>
    <w:p w14:paraId="5BC4070B" w14:textId="0A4F1A0D" w:rsidR="000575C5" w:rsidRDefault="000575C5">
      <w:pPr>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br w:type="page"/>
      </w:r>
    </w:p>
    <w:p w14:paraId="64073791" w14:textId="6735BC11" w:rsidR="000575C5" w:rsidRDefault="000575C5" w:rsidP="000575C5">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eastAsia="Calibri" w:hAnsi="Arial" w:cs="Arial"/>
          <w:b/>
          <w:sz w:val="24"/>
          <w:szCs w:val="24"/>
        </w:rPr>
      </w:pPr>
      <w:r>
        <w:rPr>
          <w:rFonts w:ascii="Arial" w:eastAsia="Calibri" w:hAnsi="Arial" w:cs="Arial"/>
          <w:b/>
          <w:sz w:val="24"/>
          <w:szCs w:val="24"/>
        </w:rPr>
        <w:lastRenderedPageBreak/>
        <w:t>III.</w:t>
      </w:r>
      <w:r>
        <w:rPr>
          <w:rFonts w:ascii="Arial" w:eastAsia="Calibri" w:hAnsi="Arial" w:cs="Arial"/>
          <w:b/>
          <w:sz w:val="24"/>
          <w:szCs w:val="24"/>
        </w:rPr>
        <w:tab/>
        <w:t xml:space="preserve">PROBATE CHANGES </w:t>
      </w:r>
    </w:p>
    <w:p w14:paraId="7F100B12" w14:textId="39329AEE" w:rsidR="000575C5" w:rsidRDefault="000575C5" w:rsidP="000575C5">
      <w:pPr>
        <w:spacing w:before="100" w:beforeAutospacing="1" w:after="100" w:afterAutospacing="1" w:line="240" w:lineRule="auto"/>
        <w:jc w:val="both"/>
        <w:rPr>
          <w:rFonts w:ascii="Arial" w:eastAsia="Calibri" w:hAnsi="Arial" w:cs="Arial"/>
          <w:b/>
          <w:sz w:val="24"/>
          <w:szCs w:val="24"/>
        </w:rPr>
      </w:pPr>
      <w:r w:rsidRPr="00F90B78">
        <w:rPr>
          <w:rFonts w:ascii="Arial" w:eastAsia="Calibri" w:hAnsi="Arial" w:cs="Arial"/>
          <w:b/>
          <w:sz w:val="24"/>
          <w:szCs w:val="24"/>
        </w:rPr>
        <w:t>1.</w:t>
      </w:r>
      <w:r w:rsidRPr="00F90B78">
        <w:rPr>
          <w:rFonts w:ascii="Arial" w:eastAsia="Calibri" w:hAnsi="Arial" w:cs="Arial"/>
          <w:b/>
          <w:sz w:val="24"/>
          <w:szCs w:val="24"/>
        </w:rPr>
        <w:tab/>
      </w:r>
      <w:r w:rsidRPr="005E6A3A">
        <w:rPr>
          <w:rFonts w:ascii="Arial" w:eastAsia="Calibri" w:hAnsi="Arial" w:cs="Arial"/>
          <w:b/>
          <w:sz w:val="24"/>
          <w:szCs w:val="24"/>
        </w:rPr>
        <w:t>Mandating online professional applications</w:t>
      </w:r>
    </w:p>
    <w:p w14:paraId="2585A634" w14:textId="77777777" w:rsidR="000575C5" w:rsidRPr="005E6A3A" w:rsidRDefault="000575C5" w:rsidP="000575C5">
      <w:pPr>
        <w:spacing w:before="100" w:beforeAutospacing="1" w:after="100" w:afterAutospacing="1" w:line="240" w:lineRule="auto"/>
        <w:ind w:left="709" w:firstLine="11"/>
        <w:jc w:val="both"/>
        <w:rPr>
          <w:rFonts w:ascii="Arial" w:eastAsia="Calibri" w:hAnsi="Arial" w:cs="Arial"/>
          <w:b/>
          <w:bCs/>
          <w:sz w:val="24"/>
          <w:szCs w:val="24"/>
        </w:rPr>
      </w:pPr>
      <w:r>
        <w:rPr>
          <w:rFonts w:ascii="Arial" w:eastAsia="Calibri" w:hAnsi="Arial" w:cs="Arial"/>
          <w:sz w:val="24"/>
          <w:szCs w:val="24"/>
        </w:rPr>
        <w:t>On 10 August t</w:t>
      </w:r>
      <w:r w:rsidRPr="005E6A3A">
        <w:rPr>
          <w:rFonts w:ascii="Arial" w:eastAsia="Calibri" w:hAnsi="Arial" w:cs="Arial"/>
          <w:sz w:val="24"/>
          <w:szCs w:val="24"/>
        </w:rPr>
        <w:t>h</w:t>
      </w:r>
      <w:r>
        <w:rPr>
          <w:rFonts w:ascii="Arial" w:eastAsia="Calibri" w:hAnsi="Arial" w:cs="Arial"/>
          <w:sz w:val="24"/>
          <w:szCs w:val="24"/>
        </w:rPr>
        <w:t>e Ministry of Justice issued a</w:t>
      </w:r>
      <w:r w:rsidRPr="005E6A3A">
        <w:rPr>
          <w:rFonts w:ascii="Arial" w:eastAsia="Calibri" w:hAnsi="Arial" w:cs="Arial"/>
          <w:sz w:val="24"/>
          <w:szCs w:val="24"/>
        </w:rPr>
        <w:t xml:space="preserve"> </w:t>
      </w:r>
      <w:r>
        <w:rPr>
          <w:rFonts w:ascii="Arial" w:eastAsia="Calibri" w:hAnsi="Arial" w:cs="Arial"/>
          <w:sz w:val="24"/>
          <w:szCs w:val="24"/>
        </w:rPr>
        <w:t>C</w:t>
      </w:r>
      <w:r w:rsidRPr="005E6A3A">
        <w:rPr>
          <w:rFonts w:ascii="Arial" w:eastAsia="Calibri" w:hAnsi="Arial" w:cs="Arial"/>
          <w:sz w:val="24"/>
          <w:szCs w:val="24"/>
        </w:rPr>
        <w:t xml:space="preserve">onsultation </w:t>
      </w:r>
      <w:r>
        <w:rPr>
          <w:rFonts w:ascii="Arial" w:eastAsia="Calibri" w:hAnsi="Arial" w:cs="Arial"/>
          <w:sz w:val="24"/>
          <w:szCs w:val="24"/>
        </w:rPr>
        <w:t>P</w:t>
      </w:r>
      <w:r w:rsidRPr="005E6A3A">
        <w:rPr>
          <w:rFonts w:ascii="Arial" w:eastAsia="Calibri" w:hAnsi="Arial" w:cs="Arial"/>
          <w:sz w:val="24"/>
          <w:szCs w:val="24"/>
        </w:rPr>
        <w:t>aper aimed at specialist practitioners</w:t>
      </w:r>
      <w:r>
        <w:rPr>
          <w:rFonts w:ascii="Arial" w:eastAsia="Calibri" w:hAnsi="Arial" w:cs="Arial"/>
          <w:sz w:val="24"/>
          <w:szCs w:val="24"/>
        </w:rPr>
        <w:t xml:space="preserve"> </w:t>
      </w:r>
      <w:r w:rsidRPr="005E6A3A">
        <w:rPr>
          <w:rFonts w:ascii="Arial" w:eastAsia="Calibri" w:hAnsi="Arial" w:cs="Arial"/>
          <w:sz w:val="24"/>
          <w:szCs w:val="24"/>
        </w:rPr>
        <w:t>who submit probate applications in England and Wales set</w:t>
      </w:r>
      <w:r>
        <w:rPr>
          <w:rFonts w:ascii="Arial" w:eastAsia="Calibri" w:hAnsi="Arial" w:cs="Arial"/>
          <w:sz w:val="24"/>
          <w:szCs w:val="24"/>
        </w:rPr>
        <w:t>ting</w:t>
      </w:r>
      <w:r w:rsidRPr="005E6A3A">
        <w:rPr>
          <w:rFonts w:ascii="Arial" w:eastAsia="Calibri" w:hAnsi="Arial" w:cs="Arial"/>
          <w:sz w:val="24"/>
          <w:szCs w:val="24"/>
        </w:rPr>
        <w:t xml:space="preserve"> out the Government’s</w:t>
      </w:r>
      <w:r>
        <w:rPr>
          <w:rFonts w:ascii="Arial" w:eastAsia="Calibri" w:hAnsi="Arial" w:cs="Arial"/>
          <w:sz w:val="24"/>
          <w:szCs w:val="24"/>
        </w:rPr>
        <w:t xml:space="preserve"> </w:t>
      </w:r>
      <w:r w:rsidRPr="005E6A3A">
        <w:rPr>
          <w:rFonts w:ascii="Arial" w:eastAsia="Calibri" w:hAnsi="Arial" w:cs="Arial"/>
          <w:sz w:val="24"/>
          <w:szCs w:val="24"/>
        </w:rPr>
        <w:t xml:space="preserve">proposals for mandating online </w:t>
      </w:r>
      <w:r>
        <w:rPr>
          <w:rFonts w:ascii="Arial" w:eastAsia="Calibri" w:hAnsi="Arial" w:cs="Arial"/>
          <w:sz w:val="24"/>
          <w:szCs w:val="24"/>
        </w:rPr>
        <w:t>professional</w:t>
      </w:r>
      <w:r w:rsidRPr="005E6A3A">
        <w:rPr>
          <w:rFonts w:ascii="Arial" w:eastAsia="Calibri" w:hAnsi="Arial" w:cs="Arial"/>
          <w:sz w:val="24"/>
          <w:szCs w:val="24"/>
        </w:rPr>
        <w:t xml:space="preserve"> applications for grants of</w:t>
      </w:r>
      <w:r>
        <w:rPr>
          <w:rFonts w:ascii="Arial" w:eastAsia="Calibri" w:hAnsi="Arial" w:cs="Arial"/>
          <w:sz w:val="24"/>
          <w:szCs w:val="24"/>
        </w:rPr>
        <w:t xml:space="preserve"> </w:t>
      </w:r>
      <w:r w:rsidRPr="005E6A3A">
        <w:rPr>
          <w:rFonts w:ascii="Arial" w:eastAsia="Calibri" w:hAnsi="Arial" w:cs="Arial"/>
          <w:sz w:val="24"/>
          <w:szCs w:val="24"/>
        </w:rPr>
        <w:t xml:space="preserve">probate or letters of administration. </w:t>
      </w:r>
    </w:p>
    <w:p w14:paraId="1345EBB0" w14:textId="77777777" w:rsidR="000575C5" w:rsidRPr="006A7B07" w:rsidRDefault="000575C5" w:rsidP="000575C5">
      <w:pPr>
        <w:spacing w:before="100" w:beforeAutospacing="1" w:after="100" w:afterAutospacing="1" w:line="240" w:lineRule="auto"/>
        <w:ind w:left="720"/>
        <w:jc w:val="both"/>
        <w:rPr>
          <w:rFonts w:ascii="Arial" w:eastAsia="Calibri" w:hAnsi="Arial" w:cs="Arial"/>
          <w:sz w:val="24"/>
          <w:szCs w:val="24"/>
        </w:rPr>
      </w:pPr>
      <w:r>
        <w:rPr>
          <w:rFonts w:ascii="Arial" w:eastAsia="Calibri" w:hAnsi="Arial" w:cs="Arial"/>
          <w:sz w:val="24"/>
          <w:szCs w:val="24"/>
        </w:rPr>
        <w:t xml:space="preserve">Perceived advantages include efficiency, security, ability to access at any time, tracking, reduction in errors by virtue of built in checking, </w:t>
      </w:r>
      <w:r w:rsidRPr="006A7B07">
        <w:rPr>
          <w:rFonts w:ascii="Arial" w:eastAsia="Calibri" w:hAnsi="Arial" w:cs="Arial"/>
          <w:sz w:val="24"/>
          <w:szCs w:val="24"/>
        </w:rPr>
        <w:t>more flexible operating model</w:t>
      </w:r>
      <w:r>
        <w:rPr>
          <w:rFonts w:ascii="Arial" w:eastAsia="Calibri" w:hAnsi="Arial" w:cs="Arial"/>
          <w:sz w:val="24"/>
          <w:szCs w:val="24"/>
        </w:rPr>
        <w:t xml:space="preserve">, reduction in cost </w:t>
      </w:r>
      <w:r w:rsidRPr="006A7B07">
        <w:rPr>
          <w:rFonts w:ascii="Arial" w:eastAsia="Calibri" w:hAnsi="Arial" w:cs="Arial"/>
          <w:sz w:val="24"/>
          <w:szCs w:val="24"/>
        </w:rPr>
        <w:t>of maintaining large archives of</w:t>
      </w:r>
      <w:r>
        <w:rPr>
          <w:rFonts w:ascii="Arial" w:eastAsia="Calibri" w:hAnsi="Arial" w:cs="Arial"/>
          <w:sz w:val="24"/>
          <w:szCs w:val="24"/>
        </w:rPr>
        <w:t xml:space="preserve"> </w:t>
      </w:r>
      <w:r w:rsidRPr="006A7B07">
        <w:rPr>
          <w:rFonts w:ascii="Arial" w:eastAsia="Calibri" w:hAnsi="Arial" w:cs="Arial"/>
          <w:sz w:val="24"/>
          <w:szCs w:val="24"/>
        </w:rPr>
        <w:t xml:space="preserve">documents </w:t>
      </w:r>
      <w:r>
        <w:rPr>
          <w:rFonts w:ascii="Arial" w:eastAsia="Calibri" w:hAnsi="Arial" w:cs="Arial"/>
          <w:sz w:val="24"/>
          <w:szCs w:val="24"/>
        </w:rPr>
        <w:t>and</w:t>
      </w:r>
      <w:r w:rsidRPr="006A7B07">
        <w:rPr>
          <w:rFonts w:ascii="Arial" w:eastAsia="Calibri" w:hAnsi="Arial" w:cs="Arial"/>
          <w:sz w:val="24"/>
          <w:szCs w:val="24"/>
        </w:rPr>
        <w:t xml:space="preserve"> improv</w:t>
      </w:r>
      <w:r>
        <w:rPr>
          <w:rFonts w:ascii="Arial" w:eastAsia="Calibri" w:hAnsi="Arial" w:cs="Arial"/>
          <w:sz w:val="24"/>
          <w:szCs w:val="24"/>
        </w:rPr>
        <w:t xml:space="preserve">ement in </w:t>
      </w:r>
      <w:r w:rsidRPr="006A7B07">
        <w:rPr>
          <w:rFonts w:ascii="Arial" w:eastAsia="Calibri" w:hAnsi="Arial" w:cs="Arial"/>
          <w:sz w:val="24"/>
          <w:szCs w:val="24"/>
        </w:rPr>
        <w:t xml:space="preserve"> storage and </w:t>
      </w:r>
      <w:r>
        <w:rPr>
          <w:rFonts w:ascii="Arial" w:eastAsia="Calibri" w:hAnsi="Arial" w:cs="Arial"/>
          <w:sz w:val="24"/>
          <w:szCs w:val="24"/>
        </w:rPr>
        <w:t xml:space="preserve">management of </w:t>
      </w:r>
      <w:r w:rsidRPr="006A7B07">
        <w:rPr>
          <w:rFonts w:ascii="Arial" w:eastAsia="Calibri" w:hAnsi="Arial" w:cs="Arial"/>
          <w:sz w:val="24"/>
          <w:szCs w:val="24"/>
        </w:rPr>
        <w:t>records</w:t>
      </w:r>
    </w:p>
    <w:p w14:paraId="7C6F8DC2" w14:textId="77777777" w:rsidR="000575C5" w:rsidRDefault="000575C5" w:rsidP="000575C5">
      <w:pPr>
        <w:spacing w:before="100" w:beforeAutospacing="1" w:after="100" w:afterAutospacing="1" w:line="240" w:lineRule="auto"/>
        <w:ind w:left="720"/>
        <w:jc w:val="both"/>
        <w:rPr>
          <w:rFonts w:ascii="Arial" w:eastAsia="Calibri" w:hAnsi="Arial" w:cs="Arial"/>
          <w:sz w:val="24"/>
          <w:szCs w:val="24"/>
        </w:rPr>
      </w:pPr>
      <w:r>
        <w:rPr>
          <w:rFonts w:ascii="Arial" w:eastAsia="Calibri" w:hAnsi="Arial" w:cs="Arial"/>
          <w:sz w:val="24"/>
          <w:szCs w:val="24"/>
        </w:rPr>
        <w:t xml:space="preserve">The Consultation period was short, closing on 10 September 2020. On 29 September the Non-Contentious Probate (Amendment) Rules 2020 (2020/1059) were laid before parliament, coming into force on 2 November 2020.  </w:t>
      </w:r>
    </w:p>
    <w:p w14:paraId="5E9E4EF9" w14:textId="77777777" w:rsidR="000575C5" w:rsidRDefault="000575C5" w:rsidP="000575C5">
      <w:pPr>
        <w:spacing w:before="100" w:beforeAutospacing="1" w:after="100" w:afterAutospacing="1" w:line="240" w:lineRule="auto"/>
        <w:ind w:left="720"/>
        <w:jc w:val="both"/>
        <w:rPr>
          <w:rFonts w:ascii="Arial" w:eastAsia="Calibri" w:hAnsi="Arial" w:cs="Arial"/>
          <w:sz w:val="24"/>
          <w:szCs w:val="24"/>
        </w:rPr>
      </w:pPr>
      <w:r>
        <w:rPr>
          <w:rFonts w:ascii="Arial" w:eastAsia="Calibri" w:hAnsi="Arial" w:cs="Arial"/>
          <w:sz w:val="24"/>
          <w:szCs w:val="24"/>
        </w:rPr>
        <w:t xml:space="preserve">The SI inserts a new Rule 4 into the Non-contentious Probate Rules 1987 making it obligatory for professionals to apply on-line unless the application is listed in a new Third Schedule to the 1987 Rules. Even in the case of applications listed in the schedule applications can be made on-line. </w:t>
      </w:r>
    </w:p>
    <w:p w14:paraId="7A489E44" w14:textId="77777777" w:rsidR="000575C5" w:rsidRDefault="000575C5" w:rsidP="000575C5">
      <w:pPr>
        <w:spacing w:before="100" w:beforeAutospacing="1" w:after="100" w:afterAutospacing="1" w:line="240" w:lineRule="auto"/>
        <w:ind w:left="720"/>
        <w:jc w:val="both"/>
        <w:rPr>
          <w:rFonts w:ascii="Arial" w:eastAsia="Calibri" w:hAnsi="Arial" w:cs="Arial"/>
          <w:sz w:val="24"/>
          <w:szCs w:val="24"/>
        </w:rPr>
      </w:pPr>
      <w:r>
        <w:rPr>
          <w:rFonts w:ascii="Arial" w:eastAsia="Calibri" w:hAnsi="Arial" w:cs="Arial"/>
          <w:sz w:val="24"/>
          <w:szCs w:val="24"/>
        </w:rPr>
        <w:t>The exceptions are:</w:t>
      </w:r>
    </w:p>
    <w:p w14:paraId="4EEC818D" w14:textId="77777777" w:rsidR="000575C5" w:rsidRPr="00A03BE3" w:rsidRDefault="000575C5" w:rsidP="000575C5">
      <w:pPr>
        <w:pStyle w:val="ListParagraph"/>
        <w:numPr>
          <w:ilvl w:val="0"/>
          <w:numId w:val="13"/>
        </w:numPr>
        <w:spacing w:before="240" w:after="120" w:line="240" w:lineRule="auto"/>
        <w:ind w:left="1276" w:hanging="567"/>
        <w:jc w:val="both"/>
        <w:rPr>
          <w:rFonts w:ascii="Arial" w:eastAsia="Calibri" w:hAnsi="Arial" w:cs="Arial"/>
          <w:sz w:val="24"/>
          <w:szCs w:val="24"/>
        </w:rPr>
      </w:pPr>
      <w:r w:rsidRPr="00A03BE3">
        <w:rPr>
          <w:rFonts w:ascii="Arial" w:eastAsia="Calibri" w:hAnsi="Arial" w:cs="Arial"/>
          <w:sz w:val="24"/>
          <w:szCs w:val="24"/>
        </w:rPr>
        <w:t>A grant of administration including a grant of administration with will annexed.</w:t>
      </w:r>
    </w:p>
    <w:p w14:paraId="6232D8F6" w14:textId="77777777" w:rsidR="000575C5" w:rsidRPr="00A03BE3" w:rsidRDefault="000575C5" w:rsidP="000575C5">
      <w:pPr>
        <w:pStyle w:val="ListParagraph"/>
        <w:numPr>
          <w:ilvl w:val="0"/>
          <w:numId w:val="13"/>
        </w:numPr>
        <w:spacing w:before="240" w:after="120" w:line="240" w:lineRule="auto"/>
        <w:ind w:left="1276" w:hanging="567"/>
        <w:jc w:val="both"/>
        <w:rPr>
          <w:rFonts w:ascii="Arial" w:eastAsia="Calibri" w:hAnsi="Arial" w:cs="Arial"/>
          <w:sz w:val="24"/>
          <w:szCs w:val="24"/>
        </w:rPr>
      </w:pPr>
      <w:r w:rsidRPr="00A03BE3">
        <w:rPr>
          <w:rFonts w:ascii="Arial" w:eastAsia="Calibri" w:hAnsi="Arial" w:cs="Arial"/>
          <w:sz w:val="24"/>
          <w:szCs w:val="24"/>
        </w:rPr>
        <w:t>A second grant of probate in respect of the same estate.</w:t>
      </w:r>
    </w:p>
    <w:p w14:paraId="53BA2DEE" w14:textId="77777777" w:rsidR="000575C5" w:rsidRPr="00A03BE3" w:rsidRDefault="000575C5" w:rsidP="000575C5">
      <w:pPr>
        <w:pStyle w:val="ListParagraph"/>
        <w:numPr>
          <w:ilvl w:val="0"/>
          <w:numId w:val="13"/>
        </w:numPr>
        <w:spacing w:before="240" w:after="120" w:line="240" w:lineRule="auto"/>
        <w:ind w:left="1276" w:hanging="567"/>
        <w:jc w:val="both"/>
        <w:rPr>
          <w:rFonts w:ascii="Arial" w:eastAsia="Calibri" w:hAnsi="Arial" w:cs="Arial"/>
          <w:sz w:val="24"/>
          <w:szCs w:val="24"/>
        </w:rPr>
      </w:pPr>
      <w:r w:rsidRPr="00A03BE3">
        <w:rPr>
          <w:rFonts w:ascii="Arial" w:eastAsia="Calibri" w:hAnsi="Arial" w:cs="Arial"/>
          <w:sz w:val="24"/>
          <w:szCs w:val="24"/>
        </w:rPr>
        <w:t>A grant where the person entitled has been convicted of murder or manslaughter of the deceased or has otherwise forfeited the right to apply.</w:t>
      </w:r>
    </w:p>
    <w:p w14:paraId="2880F820" w14:textId="77777777" w:rsidR="000575C5" w:rsidRPr="00A03BE3" w:rsidRDefault="000575C5" w:rsidP="000575C5">
      <w:pPr>
        <w:pStyle w:val="ListParagraph"/>
        <w:numPr>
          <w:ilvl w:val="0"/>
          <w:numId w:val="13"/>
        </w:numPr>
        <w:spacing w:before="240" w:after="120" w:line="240" w:lineRule="auto"/>
        <w:ind w:left="1276" w:hanging="567"/>
        <w:jc w:val="both"/>
        <w:rPr>
          <w:rFonts w:ascii="Arial" w:eastAsia="Calibri" w:hAnsi="Arial" w:cs="Arial"/>
          <w:sz w:val="24"/>
          <w:szCs w:val="24"/>
        </w:rPr>
      </w:pPr>
      <w:r w:rsidRPr="00A03BE3">
        <w:rPr>
          <w:rFonts w:ascii="Arial" w:eastAsia="Calibri" w:hAnsi="Arial" w:cs="Arial"/>
          <w:sz w:val="24"/>
          <w:szCs w:val="24"/>
        </w:rPr>
        <w:t>A grant in respect of a foreign will.</w:t>
      </w:r>
    </w:p>
    <w:p w14:paraId="76BBB658" w14:textId="77777777" w:rsidR="000575C5" w:rsidRPr="00A03BE3" w:rsidRDefault="000575C5" w:rsidP="000575C5">
      <w:pPr>
        <w:pStyle w:val="ListParagraph"/>
        <w:numPr>
          <w:ilvl w:val="0"/>
          <w:numId w:val="13"/>
        </w:numPr>
        <w:spacing w:before="240" w:after="120" w:line="240" w:lineRule="auto"/>
        <w:ind w:left="1276" w:hanging="567"/>
        <w:jc w:val="both"/>
        <w:rPr>
          <w:rFonts w:ascii="Arial" w:eastAsia="Calibri" w:hAnsi="Arial" w:cs="Arial"/>
          <w:sz w:val="24"/>
          <w:szCs w:val="24"/>
        </w:rPr>
      </w:pPr>
      <w:r w:rsidRPr="00A03BE3">
        <w:rPr>
          <w:rFonts w:ascii="Arial" w:eastAsia="Calibri" w:hAnsi="Arial" w:cs="Arial"/>
          <w:sz w:val="24"/>
          <w:szCs w:val="24"/>
        </w:rPr>
        <w:t>A grant accompanied by an application to prove a copy of the will.</w:t>
      </w:r>
    </w:p>
    <w:p w14:paraId="1A4F3C31" w14:textId="77777777" w:rsidR="000575C5" w:rsidRPr="00A03BE3" w:rsidRDefault="000575C5" w:rsidP="000575C5">
      <w:pPr>
        <w:pStyle w:val="ListParagraph"/>
        <w:numPr>
          <w:ilvl w:val="0"/>
          <w:numId w:val="13"/>
        </w:numPr>
        <w:spacing w:before="240" w:after="120" w:line="240" w:lineRule="auto"/>
        <w:ind w:left="1276" w:hanging="567"/>
        <w:jc w:val="both"/>
        <w:rPr>
          <w:rFonts w:ascii="Arial" w:eastAsia="Calibri" w:hAnsi="Arial" w:cs="Arial"/>
          <w:sz w:val="24"/>
          <w:szCs w:val="24"/>
        </w:rPr>
      </w:pPr>
      <w:r w:rsidRPr="00A03BE3">
        <w:rPr>
          <w:rFonts w:ascii="Arial" w:eastAsia="Calibri" w:hAnsi="Arial" w:cs="Arial"/>
          <w:sz w:val="24"/>
          <w:szCs w:val="24"/>
        </w:rPr>
        <w:t>A grant, where all those entitled are deceased, to any of their legal personal representatives.</w:t>
      </w:r>
    </w:p>
    <w:p w14:paraId="6CC4DEC4" w14:textId="77777777" w:rsidR="000575C5" w:rsidRPr="00A03BE3" w:rsidRDefault="000575C5" w:rsidP="000575C5">
      <w:pPr>
        <w:pStyle w:val="ListParagraph"/>
        <w:numPr>
          <w:ilvl w:val="0"/>
          <w:numId w:val="13"/>
        </w:numPr>
        <w:spacing w:before="240" w:after="120" w:line="240" w:lineRule="auto"/>
        <w:ind w:left="1276" w:hanging="567"/>
        <w:jc w:val="both"/>
        <w:rPr>
          <w:rFonts w:ascii="Arial" w:eastAsia="Calibri" w:hAnsi="Arial" w:cs="Arial"/>
          <w:sz w:val="24"/>
          <w:szCs w:val="24"/>
        </w:rPr>
      </w:pPr>
      <w:r w:rsidRPr="00A03BE3">
        <w:rPr>
          <w:rFonts w:ascii="Arial" w:eastAsia="Calibri" w:hAnsi="Arial" w:cs="Arial"/>
          <w:sz w:val="24"/>
          <w:szCs w:val="24"/>
        </w:rPr>
        <w:t>A grant accompanied by an application for rectification or fiat copy of the will.</w:t>
      </w:r>
    </w:p>
    <w:p w14:paraId="57A30388" w14:textId="77777777" w:rsidR="000575C5" w:rsidRPr="00A03BE3" w:rsidRDefault="000575C5" w:rsidP="000575C5">
      <w:pPr>
        <w:pStyle w:val="ListParagraph"/>
        <w:numPr>
          <w:ilvl w:val="0"/>
          <w:numId w:val="13"/>
        </w:numPr>
        <w:spacing w:before="240" w:after="120" w:line="240" w:lineRule="auto"/>
        <w:ind w:left="1276" w:hanging="567"/>
        <w:jc w:val="both"/>
        <w:rPr>
          <w:rFonts w:ascii="Arial" w:eastAsia="Calibri" w:hAnsi="Arial" w:cs="Arial"/>
          <w:sz w:val="24"/>
          <w:szCs w:val="24"/>
        </w:rPr>
      </w:pPr>
      <w:r w:rsidRPr="00A03BE3">
        <w:rPr>
          <w:rFonts w:ascii="Arial" w:eastAsia="Calibri" w:hAnsi="Arial" w:cs="Arial"/>
          <w:sz w:val="24"/>
          <w:szCs w:val="24"/>
        </w:rPr>
        <w:t>A grant under rule 25 (Joinder of administrator).</w:t>
      </w:r>
    </w:p>
    <w:p w14:paraId="23CB5BD7" w14:textId="77777777" w:rsidR="000575C5" w:rsidRPr="00A03BE3" w:rsidRDefault="000575C5" w:rsidP="000575C5">
      <w:pPr>
        <w:pStyle w:val="ListParagraph"/>
        <w:numPr>
          <w:ilvl w:val="0"/>
          <w:numId w:val="13"/>
        </w:numPr>
        <w:spacing w:before="240" w:after="120" w:line="240" w:lineRule="auto"/>
        <w:ind w:left="1276" w:hanging="567"/>
        <w:jc w:val="both"/>
        <w:rPr>
          <w:rFonts w:ascii="Arial" w:eastAsia="Calibri" w:hAnsi="Arial" w:cs="Arial"/>
          <w:sz w:val="24"/>
          <w:szCs w:val="24"/>
        </w:rPr>
      </w:pPr>
      <w:r w:rsidRPr="00A03BE3">
        <w:rPr>
          <w:rFonts w:ascii="Arial" w:eastAsia="Calibri" w:hAnsi="Arial" w:cs="Arial"/>
          <w:sz w:val="24"/>
          <w:szCs w:val="24"/>
        </w:rPr>
        <w:t>A grant under rule 27 (Grants where two or more persons entitled in same degree).</w:t>
      </w:r>
    </w:p>
    <w:p w14:paraId="4B8EFC01" w14:textId="77777777" w:rsidR="000575C5" w:rsidRPr="00A03BE3" w:rsidRDefault="000575C5" w:rsidP="000575C5">
      <w:pPr>
        <w:pStyle w:val="ListParagraph"/>
        <w:numPr>
          <w:ilvl w:val="0"/>
          <w:numId w:val="13"/>
        </w:numPr>
        <w:spacing w:before="240" w:after="120" w:line="240" w:lineRule="auto"/>
        <w:ind w:left="1276" w:hanging="567"/>
        <w:jc w:val="both"/>
        <w:rPr>
          <w:rFonts w:ascii="Arial" w:eastAsia="Calibri" w:hAnsi="Arial" w:cs="Arial"/>
          <w:sz w:val="24"/>
          <w:szCs w:val="24"/>
        </w:rPr>
      </w:pPr>
      <w:r w:rsidRPr="00A03BE3">
        <w:rPr>
          <w:rFonts w:ascii="Arial" w:eastAsia="Calibri" w:hAnsi="Arial" w:cs="Arial"/>
          <w:sz w:val="24"/>
          <w:szCs w:val="24"/>
        </w:rPr>
        <w:t>A grant under rule 30 (Grants where deceased died domiciled outside England and Wales), except a grant under rule 30(3)(b).</w:t>
      </w:r>
    </w:p>
    <w:p w14:paraId="47669558" w14:textId="77777777" w:rsidR="000575C5" w:rsidRPr="00A03BE3" w:rsidRDefault="000575C5" w:rsidP="000575C5">
      <w:pPr>
        <w:pStyle w:val="ListParagraph"/>
        <w:numPr>
          <w:ilvl w:val="0"/>
          <w:numId w:val="13"/>
        </w:numPr>
        <w:spacing w:before="240" w:after="120" w:line="240" w:lineRule="auto"/>
        <w:ind w:left="1276" w:hanging="567"/>
        <w:jc w:val="both"/>
        <w:rPr>
          <w:rFonts w:ascii="Arial" w:eastAsia="Calibri" w:hAnsi="Arial" w:cs="Arial"/>
          <w:sz w:val="24"/>
          <w:szCs w:val="24"/>
        </w:rPr>
      </w:pPr>
      <w:r w:rsidRPr="00A03BE3">
        <w:rPr>
          <w:rFonts w:ascii="Arial" w:eastAsia="Calibri" w:hAnsi="Arial" w:cs="Arial"/>
          <w:sz w:val="24"/>
          <w:szCs w:val="24"/>
        </w:rPr>
        <w:t>A grant under rule 31 (Grants to attorneys).</w:t>
      </w:r>
    </w:p>
    <w:p w14:paraId="457C28C9" w14:textId="77777777" w:rsidR="000575C5" w:rsidRPr="00A03BE3" w:rsidRDefault="000575C5" w:rsidP="000575C5">
      <w:pPr>
        <w:pStyle w:val="ListParagraph"/>
        <w:numPr>
          <w:ilvl w:val="0"/>
          <w:numId w:val="13"/>
        </w:numPr>
        <w:spacing w:before="240" w:after="120" w:line="240" w:lineRule="auto"/>
        <w:ind w:left="1276" w:hanging="567"/>
        <w:jc w:val="both"/>
        <w:rPr>
          <w:rFonts w:ascii="Arial" w:eastAsia="Calibri" w:hAnsi="Arial" w:cs="Arial"/>
          <w:sz w:val="24"/>
          <w:szCs w:val="24"/>
        </w:rPr>
      </w:pPr>
      <w:r w:rsidRPr="00A03BE3">
        <w:rPr>
          <w:rFonts w:ascii="Arial" w:eastAsia="Calibri" w:hAnsi="Arial" w:cs="Arial"/>
          <w:sz w:val="24"/>
          <w:szCs w:val="24"/>
        </w:rPr>
        <w:t>A grant under rule 36 (Grants to trust corporations and other corporate bodies).</w:t>
      </w:r>
    </w:p>
    <w:p w14:paraId="47357C5D" w14:textId="77777777" w:rsidR="000575C5" w:rsidRPr="00A03BE3" w:rsidRDefault="000575C5" w:rsidP="000575C5">
      <w:pPr>
        <w:pStyle w:val="ListParagraph"/>
        <w:numPr>
          <w:ilvl w:val="0"/>
          <w:numId w:val="13"/>
        </w:numPr>
        <w:spacing w:before="240" w:after="120" w:line="240" w:lineRule="auto"/>
        <w:ind w:left="1276" w:hanging="567"/>
        <w:jc w:val="both"/>
        <w:rPr>
          <w:rFonts w:ascii="Arial" w:eastAsia="Calibri" w:hAnsi="Arial" w:cs="Arial"/>
          <w:sz w:val="24"/>
          <w:szCs w:val="24"/>
        </w:rPr>
      </w:pPr>
      <w:r w:rsidRPr="00A03BE3">
        <w:rPr>
          <w:rFonts w:ascii="Arial" w:eastAsia="Calibri" w:hAnsi="Arial" w:cs="Arial"/>
          <w:sz w:val="24"/>
          <w:szCs w:val="24"/>
        </w:rPr>
        <w:t>A grant under rule 39 (Resealing under Colonial Probates Acts 1892 and 1927).</w:t>
      </w:r>
    </w:p>
    <w:p w14:paraId="69F0D15A" w14:textId="77777777" w:rsidR="000575C5" w:rsidRPr="00A03BE3" w:rsidRDefault="000575C5" w:rsidP="000575C5">
      <w:pPr>
        <w:pStyle w:val="ListParagraph"/>
        <w:numPr>
          <w:ilvl w:val="0"/>
          <w:numId w:val="13"/>
        </w:numPr>
        <w:spacing w:before="240" w:after="120" w:line="240" w:lineRule="auto"/>
        <w:ind w:left="1276" w:hanging="567"/>
        <w:jc w:val="both"/>
        <w:rPr>
          <w:rFonts w:ascii="Arial" w:eastAsia="Calibri" w:hAnsi="Arial" w:cs="Arial"/>
          <w:sz w:val="24"/>
          <w:szCs w:val="24"/>
        </w:rPr>
      </w:pPr>
      <w:r w:rsidRPr="00A03BE3">
        <w:rPr>
          <w:rFonts w:ascii="Arial" w:eastAsia="Calibri" w:hAnsi="Arial" w:cs="Arial"/>
          <w:sz w:val="24"/>
          <w:szCs w:val="24"/>
        </w:rPr>
        <w:t xml:space="preserve">A grant under rule 52 (Grants of administration under discretionary powers of court, and grants </w:t>
      </w:r>
      <w:r w:rsidRPr="00DF2349">
        <w:rPr>
          <w:rFonts w:ascii="Arial" w:eastAsia="Calibri" w:hAnsi="Arial" w:cs="Arial"/>
          <w:i/>
          <w:iCs/>
          <w:sz w:val="24"/>
          <w:szCs w:val="24"/>
        </w:rPr>
        <w:t>ad colligenda bona</w:t>
      </w:r>
      <w:r w:rsidRPr="00A03BE3">
        <w:rPr>
          <w:rFonts w:ascii="Arial" w:eastAsia="Calibri" w:hAnsi="Arial" w:cs="Arial"/>
          <w:sz w:val="24"/>
          <w:szCs w:val="24"/>
        </w:rPr>
        <w:t>).</w:t>
      </w:r>
    </w:p>
    <w:p w14:paraId="569C542B" w14:textId="77777777" w:rsidR="000575C5" w:rsidRDefault="000575C5" w:rsidP="000575C5">
      <w:pPr>
        <w:spacing w:before="100" w:beforeAutospacing="1" w:after="100" w:afterAutospacing="1" w:line="240" w:lineRule="auto"/>
        <w:ind w:left="709"/>
        <w:jc w:val="both"/>
        <w:rPr>
          <w:rFonts w:ascii="Arial" w:eastAsia="Calibri" w:hAnsi="Arial" w:cs="Arial"/>
          <w:bCs/>
          <w:sz w:val="24"/>
          <w:szCs w:val="24"/>
        </w:rPr>
      </w:pPr>
      <w:r>
        <w:rPr>
          <w:rFonts w:ascii="Arial" w:eastAsia="Calibri" w:hAnsi="Arial" w:cs="Arial"/>
          <w:bCs/>
          <w:sz w:val="24"/>
          <w:szCs w:val="24"/>
        </w:rPr>
        <w:lastRenderedPageBreak/>
        <w:t>Although t</w:t>
      </w:r>
      <w:r w:rsidRPr="00B4476F">
        <w:rPr>
          <w:rFonts w:ascii="Arial" w:eastAsia="Calibri" w:hAnsi="Arial" w:cs="Arial"/>
          <w:bCs/>
          <w:sz w:val="24"/>
          <w:szCs w:val="24"/>
        </w:rPr>
        <w:t>he new rules c</w:t>
      </w:r>
      <w:r>
        <w:rPr>
          <w:rFonts w:ascii="Arial" w:eastAsia="Calibri" w:hAnsi="Arial" w:cs="Arial"/>
          <w:bCs/>
          <w:sz w:val="24"/>
          <w:szCs w:val="24"/>
        </w:rPr>
        <w:t>a</w:t>
      </w:r>
      <w:r w:rsidRPr="00B4476F">
        <w:rPr>
          <w:rFonts w:ascii="Arial" w:eastAsia="Calibri" w:hAnsi="Arial" w:cs="Arial"/>
          <w:bCs/>
          <w:sz w:val="24"/>
          <w:szCs w:val="24"/>
        </w:rPr>
        <w:t>me into force on 2 November 2020</w:t>
      </w:r>
      <w:r>
        <w:rPr>
          <w:rFonts w:ascii="Arial" w:eastAsia="Calibri" w:hAnsi="Arial" w:cs="Arial"/>
          <w:bCs/>
          <w:sz w:val="24"/>
          <w:szCs w:val="24"/>
        </w:rPr>
        <w:t xml:space="preserve">, </w:t>
      </w:r>
      <w:r w:rsidRPr="00B4476F">
        <w:rPr>
          <w:rFonts w:ascii="Arial" w:eastAsia="Calibri" w:hAnsi="Arial" w:cs="Arial"/>
          <w:bCs/>
          <w:sz w:val="24"/>
          <w:szCs w:val="24"/>
        </w:rPr>
        <w:t xml:space="preserve">there will be a grace period until 30 November 2020 when paper applications will still be accepted. This is to provide additional time for professional users to sign up for online accounts in readiness for the future submission of grants of probate applications via MyHMCTS. Paper applications which have no exemption will be returned unissued after this date and submission will have to be made online. </w:t>
      </w:r>
    </w:p>
    <w:p w14:paraId="0E16224B" w14:textId="704F5D5C" w:rsidR="000575C5" w:rsidRDefault="000575C5" w:rsidP="000575C5">
      <w:pPr>
        <w:spacing w:before="100" w:beforeAutospacing="1" w:after="100" w:afterAutospacing="1" w:line="240" w:lineRule="auto"/>
        <w:ind w:left="709"/>
        <w:jc w:val="both"/>
        <w:rPr>
          <w:rFonts w:ascii="Arial" w:hAnsi="Arial" w:cs="Arial"/>
          <w:sz w:val="24"/>
          <w:szCs w:val="24"/>
        </w:rPr>
      </w:pPr>
      <w:r w:rsidRPr="00DF2349">
        <w:rPr>
          <w:rFonts w:ascii="Arial" w:eastAsia="Calibri" w:hAnsi="Arial" w:cs="Arial"/>
          <w:bCs/>
          <w:sz w:val="24"/>
          <w:szCs w:val="24"/>
        </w:rPr>
        <w:t xml:space="preserve">It is to be hoped that the new system does increase efficiency. </w:t>
      </w:r>
      <w:r>
        <w:rPr>
          <w:rFonts w:ascii="Arial" w:hAnsi="Arial" w:cs="Arial"/>
          <w:sz w:val="24"/>
          <w:szCs w:val="24"/>
        </w:rPr>
        <w:t xml:space="preserve">On 11 November 2020 the </w:t>
      </w:r>
      <w:r w:rsidRPr="00DF2349">
        <w:rPr>
          <w:rFonts w:ascii="Arial" w:eastAsia="Calibri" w:hAnsi="Arial" w:cs="Arial"/>
          <w:bCs/>
          <w:sz w:val="24"/>
          <w:szCs w:val="24"/>
        </w:rPr>
        <w:t xml:space="preserve">Law Society </w:t>
      </w:r>
      <w:r>
        <w:rPr>
          <w:rFonts w:ascii="Arial" w:hAnsi="Arial" w:cs="Arial"/>
          <w:sz w:val="24"/>
          <w:szCs w:val="24"/>
        </w:rPr>
        <w:t>Gazette carried the following report:</w:t>
      </w:r>
    </w:p>
    <w:p w14:paraId="022E5477" w14:textId="77777777" w:rsidR="000575C5" w:rsidRPr="00A310DB" w:rsidRDefault="000575C5" w:rsidP="000575C5">
      <w:pPr>
        <w:spacing w:before="100" w:beforeAutospacing="1" w:after="100" w:afterAutospacing="1" w:line="240" w:lineRule="auto"/>
        <w:ind w:left="1440"/>
        <w:jc w:val="both"/>
        <w:rPr>
          <w:rFonts w:ascii="Arial" w:hAnsi="Arial" w:cs="Arial"/>
          <w:i/>
          <w:iCs/>
          <w:sz w:val="24"/>
          <w:szCs w:val="24"/>
        </w:rPr>
      </w:pPr>
      <w:r>
        <w:rPr>
          <w:rFonts w:ascii="Arial" w:hAnsi="Arial" w:cs="Arial"/>
          <w:i/>
          <w:iCs/>
          <w:sz w:val="24"/>
          <w:szCs w:val="24"/>
        </w:rPr>
        <w:t>T</w:t>
      </w:r>
      <w:r w:rsidRPr="00A310DB">
        <w:rPr>
          <w:rFonts w:ascii="Arial" w:hAnsi="Arial" w:cs="Arial"/>
          <w:i/>
          <w:iCs/>
          <w:sz w:val="24"/>
          <w:szCs w:val="24"/>
        </w:rPr>
        <w:t>he probate service is plagued with more delays and errors than it was two years ago, despite higher staff numbers and a bigger budget, a solicitor and MP has told the government.</w:t>
      </w:r>
    </w:p>
    <w:p w14:paraId="466B1C11" w14:textId="77777777" w:rsidR="000575C5" w:rsidRPr="00A310DB" w:rsidRDefault="000575C5" w:rsidP="000575C5">
      <w:pPr>
        <w:spacing w:before="100" w:beforeAutospacing="1" w:after="100" w:afterAutospacing="1" w:line="240" w:lineRule="auto"/>
        <w:ind w:left="1440"/>
        <w:jc w:val="both"/>
        <w:rPr>
          <w:rFonts w:ascii="Arial" w:hAnsi="Arial" w:cs="Arial"/>
          <w:i/>
          <w:iCs/>
          <w:sz w:val="24"/>
          <w:szCs w:val="24"/>
        </w:rPr>
      </w:pPr>
      <w:r w:rsidRPr="00A310DB">
        <w:rPr>
          <w:rFonts w:ascii="Arial" w:hAnsi="Arial" w:cs="Arial"/>
          <w:i/>
          <w:iCs/>
          <w:sz w:val="24"/>
          <w:szCs w:val="24"/>
        </w:rPr>
        <w:t>Speaking at a Westminster Hall debate, Conservative John Stevenson MP said the quality of the probate service has ‘deteriorated’ since district registries were centralised and paper applications were replaced by a digital system.</w:t>
      </w:r>
    </w:p>
    <w:p w14:paraId="162092EB" w14:textId="77777777" w:rsidR="000575C5" w:rsidRPr="00A310DB" w:rsidRDefault="000575C5" w:rsidP="000575C5">
      <w:pPr>
        <w:spacing w:before="100" w:beforeAutospacing="1" w:after="100" w:afterAutospacing="1" w:line="240" w:lineRule="auto"/>
        <w:ind w:left="1440"/>
        <w:jc w:val="both"/>
        <w:rPr>
          <w:rFonts w:ascii="Arial" w:hAnsi="Arial" w:cs="Arial"/>
          <w:i/>
          <w:iCs/>
          <w:sz w:val="24"/>
          <w:szCs w:val="24"/>
        </w:rPr>
      </w:pPr>
      <w:r w:rsidRPr="00A310DB">
        <w:rPr>
          <w:rFonts w:ascii="Arial" w:hAnsi="Arial" w:cs="Arial"/>
          <w:i/>
          <w:iCs/>
          <w:sz w:val="24"/>
          <w:szCs w:val="24"/>
        </w:rPr>
        <w:t>Stevenson reported waiting up to 17 weeks for grants of probate and said solicitors can spend 50 minutes on the telephone waiting for a response to a probate enquiry. He added that ‘errors are creeping in in a way that would have been unimaginable previously’ and that the government had ignored advice from practitioners to delay the introduction of mandatory online applications.</w:t>
      </w:r>
    </w:p>
    <w:p w14:paraId="7AB10A93" w14:textId="77777777" w:rsidR="000575C5" w:rsidRPr="00A310DB" w:rsidRDefault="000575C5" w:rsidP="000575C5">
      <w:pPr>
        <w:spacing w:before="100" w:beforeAutospacing="1" w:after="100" w:afterAutospacing="1" w:line="240" w:lineRule="auto"/>
        <w:ind w:left="1440"/>
        <w:jc w:val="both"/>
        <w:rPr>
          <w:rFonts w:ascii="Arial" w:hAnsi="Arial" w:cs="Arial"/>
          <w:i/>
          <w:iCs/>
          <w:sz w:val="24"/>
          <w:szCs w:val="24"/>
        </w:rPr>
      </w:pPr>
      <w:r w:rsidRPr="00A310DB">
        <w:rPr>
          <w:rFonts w:ascii="Arial" w:hAnsi="Arial" w:cs="Arial"/>
          <w:i/>
          <w:iCs/>
          <w:sz w:val="24"/>
          <w:szCs w:val="24"/>
        </w:rPr>
        <w:t>The probate registry currently has 215 staff members, compared with 156 in 2018, and costs £7.5m to run, up from £5.7m two years ago.</w:t>
      </w:r>
    </w:p>
    <w:p w14:paraId="74EF94FF" w14:textId="77777777" w:rsidR="000575C5" w:rsidRDefault="000575C5" w:rsidP="000575C5">
      <w:pPr>
        <w:spacing w:before="100" w:beforeAutospacing="1" w:after="100" w:afterAutospacing="1" w:line="240" w:lineRule="auto"/>
        <w:ind w:left="1440"/>
        <w:jc w:val="both"/>
        <w:rPr>
          <w:rFonts w:ascii="Arial" w:hAnsi="Arial" w:cs="Arial"/>
          <w:i/>
          <w:iCs/>
          <w:sz w:val="24"/>
          <w:szCs w:val="24"/>
        </w:rPr>
      </w:pPr>
      <w:r w:rsidRPr="00A310DB">
        <w:rPr>
          <w:rFonts w:ascii="Arial" w:hAnsi="Arial" w:cs="Arial"/>
          <w:i/>
          <w:iCs/>
          <w:sz w:val="24"/>
          <w:szCs w:val="24"/>
        </w:rPr>
        <w:t xml:space="preserve">Stevenson asked. </w:t>
      </w:r>
    </w:p>
    <w:p w14:paraId="2633F48C" w14:textId="77777777" w:rsidR="000575C5" w:rsidRPr="00A310DB" w:rsidRDefault="000575C5" w:rsidP="000575C5">
      <w:pPr>
        <w:spacing w:before="100" w:beforeAutospacing="1" w:after="100" w:afterAutospacing="1" w:line="240" w:lineRule="auto"/>
        <w:ind w:left="2160"/>
        <w:jc w:val="both"/>
        <w:rPr>
          <w:rFonts w:ascii="Arial" w:hAnsi="Arial" w:cs="Arial"/>
          <w:i/>
          <w:iCs/>
          <w:sz w:val="24"/>
          <w:szCs w:val="24"/>
        </w:rPr>
      </w:pPr>
      <w:r w:rsidRPr="00A310DB">
        <w:rPr>
          <w:rFonts w:ascii="Arial" w:hAnsi="Arial" w:cs="Arial"/>
          <w:i/>
          <w:iCs/>
          <w:sz w:val="24"/>
          <w:szCs w:val="24"/>
        </w:rPr>
        <w:t xml:space="preserve">‘Could the minister please explain how a service which employs more people and costs more is now delivering a poorer service? Could the minister explain how introducing new technology which was meant to improve the service has resulted in probate being issued in seven weeks plus, compared with the previous system, which was around three weeks?’ </w:t>
      </w:r>
    </w:p>
    <w:p w14:paraId="323966B7" w14:textId="77777777" w:rsidR="000575C5" w:rsidRPr="00A310DB" w:rsidRDefault="000575C5" w:rsidP="000575C5">
      <w:pPr>
        <w:spacing w:before="100" w:beforeAutospacing="1" w:after="100" w:afterAutospacing="1" w:line="240" w:lineRule="auto"/>
        <w:ind w:left="1440"/>
        <w:jc w:val="both"/>
        <w:rPr>
          <w:rFonts w:ascii="Arial" w:hAnsi="Arial" w:cs="Arial"/>
          <w:i/>
          <w:iCs/>
          <w:sz w:val="24"/>
          <w:szCs w:val="24"/>
        </w:rPr>
      </w:pPr>
      <w:r w:rsidRPr="00A310DB">
        <w:rPr>
          <w:rFonts w:ascii="Arial" w:hAnsi="Arial" w:cs="Arial"/>
          <w:i/>
          <w:iCs/>
          <w:sz w:val="24"/>
          <w:szCs w:val="24"/>
        </w:rPr>
        <w:t>According to an updated court recovery plan published yesterday, HM Courts &amp; Tribunals Service expects to reduce the probate backlog that accumulated earlier in the pandemic this autumn.</w:t>
      </w:r>
    </w:p>
    <w:p w14:paraId="5F265BBC" w14:textId="77777777" w:rsidR="000575C5" w:rsidRDefault="000575C5" w:rsidP="000575C5">
      <w:pPr>
        <w:spacing w:before="100" w:beforeAutospacing="1" w:after="100" w:afterAutospacing="1" w:line="240" w:lineRule="auto"/>
        <w:ind w:left="1440"/>
        <w:jc w:val="both"/>
        <w:rPr>
          <w:rFonts w:ascii="Arial" w:hAnsi="Arial" w:cs="Arial"/>
          <w:i/>
          <w:iCs/>
          <w:sz w:val="24"/>
          <w:szCs w:val="24"/>
        </w:rPr>
      </w:pPr>
      <w:r>
        <w:rPr>
          <w:rFonts w:ascii="Arial" w:hAnsi="Arial" w:cs="Arial"/>
          <w:i/>
          <w:iCs/>
          <w:sz w:val="24"/>
          <w:szCs w:val="24"/>
        </w:rPr>
        <w:t>HMCTS</w:t>
      </w:r>
      <w:r w:rsidRPr="00A310DB">
        <w:rPr>
          <w:rFonts w:ascii="Arial" w:hAnsi="Arial" w:cs="Arial"/>
          <w:i/>
          <w:iCs/>
          <w:sz w:val="24"/>
          <w:szCs w:val="24"/>
        </w:rPr>
        <w:t xml:space="preserve"> said. </w:t>
      </w:r>
    </w:p>
    <w:p w14:paraId="5D9A32A8" w14:textId="77777777" w:rsidR="000575C5" w:rsidRPr="00A310DB" w:rsidRDefault="000575C5" w:rsidP="000575C5">
      <w:pPr>
        <w:spacing w:before="100" w:beforeAutospacing="1" w:after="100" w:afterAutospacing="1" w:line="240" w:lineRule="auto"/>
        <w:ind w:left="2160"/>
        <w:jc w:val="both"/>
        <w:rPr>
          <w:rFonts w:ascii="Arial" w:hAnsi="Arial" w:cs="Arial"/>
          <w:i/>
          <w:iCs/>
          <w:sz w:val="24"/>
          <w:szCs w:val="24"/>
        </w:rPr>
      </w:pPr>
      <w:r w:rsidRPr="00A310DB">
        <w:rPr>
          <w:rFonts w:ascii="Arial" w:hAnsi="Arial" w:cs="Arial"/>
          <w:i/>
          <w:iCs/>
          <w:sz w:val="24"/>
          <w:szCs w:val="24"/>
        </w:rPr>
        <w:t xml:space="preserve">‘Our digital reforms to the probate and divorce services have increased resilience and put us in a strong position to make quick progress by enabling both our operational staff and our users to work remotely,’ </w:t>
      </w:r>
    </w:p>
    <w:p w14:paraId="7F963E6E" w14:textId="77777777" w:rsidR="000575C5" w:rsidRPr="00A310DB" w:rsidRDefault="000575C5" w:rsidP="000575C5">
      <w:pPr>
        <w:spacing w:before="100" w:beforeAutospacing="1" w:after="100" w:afterAutospacing="1" w:line="240" w:lineRule="auto"/>
        <w:ind w:left="1440"/>
        <w:jc w:val="both"/>
        <w:rPr>
          <w:rFonts w:ascii="Arial" w:hAnsi="Arial" w:cs="Arial"/>
          <w:i/>
          <w:iCs/>
          <w:sz w:val="24"/>
          <w:szCs w:val="24"/>
        </w:rPr>
      </w:pPr>
      <w:r w:rsidRPr="00A310DB">
        <w:rPr>
          <w:rFonts w:ascii="Arial" w:hAnsi="Arial" w:cs="Arial"/>
          <w:i/>
          <w:iCs/>
          <w:sz w:val="24"/>
          <w:szCs w:val="24"/>
        </w:rPr>
        <w:lastRenderedPageBreak/>
        <w:t>The increase in the death rate associated with the pandemic has resulted in an above average number of probate service receipts since the start of June 2020.</w:t>
      </w:r>
    </w:p>
    <w:p w14:paraId="41E5F547" w14:textId="77777777" w:rsidR="000575C5" w:rsidRPr="00A310DB" w:rsidRDefault="000575C5" w:rsidP="000575C5">
      <w:pPr>
        <w:spacing w:before="100" w:beforeAutospacing="1" w:after="100" w:afterAutospacing="1" w:line="240" w:lineRule="auto"/>
        <w:ind w:left="1440"/>
        <w:jc w:val="both"/>
        <w:rPr>
          <w:rFonts w:ascii="Arial" w:hAnsi="Arial" w:cs="Arial"/>
          <w:i/>
          <w:iCs/>
          <w:sz w:val="24"/>
          <w:szCs w:val="24"/>
        </w:rPr>
      </w:pPr>
      <w:r w:rsidRPr="00A310DB">
        <w:rPr>
          <w:rFonts w:ascii="Arial" w:hAnsi="Arial" w:cs="Arial"/>
          <w:i/>
          <w:iCs/>
          <w:sz w:val="24"/>
          <w:szCs w:val="24"/>
        </w:rPr>
        <w:t>However, HMCTS claims waiting times for grants of probate have been maintained at pre-Covid levels during April to June 2020 and throughput in the four weeks to 20 September exceeded pre-Covid levels.”</w:t>
      </w:r>
    </w:p>
    <w:p w14:paraId="1805E23C" w14:textId="77777777" w:rsidR="000575C5" w:rsidRPr="00A310DB" w:rsidRDefault="000575C5" w:rsidP="000575C5">
      <w:pPr>
        <w:spacing w:before="100" w:beforeAutospacing="1" w:after="100" w:afterAutospacing="1" w:line="240" w:lineRule="auto"/>
        <w:ind w:left="720"/>
        <w:jc w:val="both"/>
        <w:rPr>
          <w:rFonts w:ascii="Arial" w:hAnsi="Arial" w:cs="Arial"/>
          <w:b/>
          <w:bCs/>
          <w:sz w:val="24"/>
          <w:szCs w:val="24"/>
        </w:rPr>
      </w:pPr>
      <w:r w:rsidRPr="00A310DB">
        <w:rPr>
          <w:rFonts w:ascii="Arial" w:hAnsi="Arial" w:cs="Arial"/>
          <w:b/>
          <w:bCs/>
          <w:sz w:val="24"/>
          <w:szCs w:val="24"/>
        </w:rPr>
        <w:t>Managing the new process</w:t>
      </w:r>
    </w:p>
    <w:p w14:paraId="34C4D889" w14:textId="77777777" w:rsidR="000575C5" w:rsidRDefault="000575C5" w:rsidP="000575C5">
      <w:pPr>
        <w:spacing w:before="100" w:beforeAutospacing="1" w:after="100" w:afterAutospacing="1" w:line="240" w:lineRule="auto"/>
        <w:ind w:left="720"/>
        <w:jc w:val="both"/>
        <w:rPr>
          <w:rFonts w:ascii="Arial" w:hAnsi="Arial" w:cs="Arial"/>
          <w:sz w:val="24"/>
          <w:szCs w:val="24"/>
        </w:rPr>
      </w:pPr>
      <w:r>
        <w:rPr>
          <w:rFonts w:ascii="Arial" w:hAnsi="Arial" w:cs="Arial"/>
          <w:sz w:val="24"/>
          <w:szCs w:val="24"/>
        </w:rPr>
        <w:t>U</w:t>
      </w:r>
      <w:r w:rsidRPr="00977AE0">
        <w:rPr>
          <w:rFonts w:ascii="Arial" w:hAnsi="Arial" w:cs="Arial"/>
          <w:sz w:val="24"/>
          <w:szCs w:val="24"/>
        </w:rPr>
        <w:t xml:space="preserve">seful guidance </w:t>
      </w:r>
      <w:r>
        <w:rPr>
          <w:rFonts w:ascii="Arial" w:hAnsi="Arial" w:cs="Arial"/>
          <w:sz w:val="24"/>
          <w:szCs w:val="24"/>
        </w:rPr>
        <w:t xml:space="preserve">on creating an online account is available </w:t>
      </w:r>
      <w:r w:rsidRPr="00977AE0">
        <w:rPr>
          <w:rFonts w:ascii="Arial" w:hAnsi="Arial" w:cs="Arial"/>
          <w:sz w:val="24"/>
          <w:szCs w:val="24"/>
        </w:rPr>
        <w:t xml:space="preserve">at </w:t>
      </w:r>
      <w:hyperlink r:id="rId10" w:history="1">
        <w:r w:rsidRPr="000767E0">
          <w:rPr>
            <w:rStyle w:val="Hyperlink"/>
            <w:rFonts w:ascii="Arial" w:hAnsi="Arial" w:cs="Arial"/>
            <w:sz w:val="24"/>
            <w:szCs w:val="24"/>
          </w:rPr>
          <w:t>https://www.gov.uk/guidance/hmcts-online-services-for-legal-professionals</w:t>
        </w:r>
      </w:hyperlink>
      <w:r w:rsidRPr="00977AE0">
        <w:rPr>
          <w:rFonts w:ascii="Arial" w:hAnsi="Arial" w:cs="Arial"/>
          <w:sz w:val="24"/>
          <w:szCs w:val="24"/>
        </w:rPr>
        <w:t>.</w:t>
      </w:r>
    </w:p>
    <w:p w14:paraId="7EB3D735" w14:textId="77777777" w:rsidR="000575C5" w:rsidRDefault="000575C5" w:rsidP="000575C5">
      <w:pPr>
        <w:spacing w:before="100" w:beforeAutospacing="1" w:after="100" w:afterAutospacing="1" w:line="240" w:lineRule="auto"/>
        <w:ind w:left="720"/>
        <w:jc w:val="both"/>
        <w:rPr>
          <w:rFonts w:ascii="Arial" w:hAnsi="Arial" w:cs="Arial"/>
          <w:sz w:val="24"/>
          <w:szCs w:val="24"/>
        </w:rPr>
      </w:pPr>
      <w:r>
        <w:rPr>
          <w:rFonts w:ascii="Arial" w:hAnsi="Arial" w:cs="Arial"/>
          <w:sz w:val="24"/>
          <w:szCs w:val="24"/>
        </w:rPr>
        <w:t>HMCTS published a letter on 9 October offering guidance to practitioners on the process. It says:</w:t>
      </w:r>
    </w:p>
    <w:p w14:paraId="54540B7B" w14:textId="77777777" w:rsidR="000575C5" w:rsidRPr="00223871" w:rsidRDefault="000575C5" w:rsidP="000575C5">
      <w:pPr>
        <w:spacing w:before="100" w:beforeAutospacing="1" w:after="100" w:afterAutospacing="1" w:line="240" w:lineRule="auto"/>
        <w:ind w:left="1440"/>
        <w:jc w:val="both"/>
        <w:rPr>
          <w:rFonts w:ascii="Arial" w:hAnsi="Arial" w:cs="Arial"/>
          <w:i/>
          <w:iCs/>
          <w:sz w:val="24"/>
          <w:szCs w:val="24"/>
        </w:rPr>
      </w:pPr>
      <w:r>
        <w:rPr>
          <w:rFonts w:ascii="Arial" w:hAnsi="Arial" w:cs="Arial"/>
          <w:i/>
          <w:iCs/>
          <w:sz w:val="24"/>
          <w:szCs w:val="24"/>
        </w:rPr>
        <w:t>“</w:t>
      </w:r>
      <w:r w:rsidRPr="00223871">
        <w:rPr>
          <w:rFonts w:ascii="Arial" w:hAnsi="Arial" w:cs="Arial"/>
          <w:i/>
          <w:iCs/>
          <w:sz w:val="24"/>
          <w:szCs w:val="24"/>
        </w:rPr>
        <w:t xml:space="preserve">If your organisation is already registered (for example this may be the case if you have a team in your law firm that submits divorce applications online), you will need to contact your firm’s MyHMCTS account administrator to request access. </w:t>
      </w:r>
    </w:p>
    <w:p w14:paraId="37495802" w14:textId="77777777" w:rsidR="000575C5" w:rsidRDefault="000575C5" w:rsidP="000575C5">
      <w:pPr>
        <w:spacing w:after="0" w:line="240" w:lineRule="auto"/>
        <w:ind w:left="1440"/>
        <w:jc w:val="both"/>
        <w:rPr>
          <w:rFonts w:ascii="Arial" w:hAnsi="Arial" w:cs="Arial"/>
          <w:i/>
          <w:iCs/>
          <w:sz w:val="24"/>
          <w:szCs w:val="24"/>
        </w:rPr>
      </w:pPr>
      <w:r w:rsidRPr="00223871">
        <w:rPr>
          <w:rFonts w:ascii="Arial" w:hAnsi="Arial" w:cs="Arial"/>
          <w:i/>
          <w:iCs/>
          <w:sz w:val="24"/>
          <w:szCs w:val="24"/>
        </w:rPr>
        <w:t>It’s important that your organisation does not attempt to register more than once. If your firm has not yet registered, we will contact you before 2 November with further information and assistance about signing up.</w:t>
      </w:r>
      <w:r>
        <w:rPr>
          <w:rFonts w:ascii="Arial" w:hAnsi="Arial" w:cs="Arial"/>
          <w:i/>
          <w:iCs/>
          <w:sz w:val="24"/>
          <w:szCs w:val="24"/>
        </w:rPr>
        <w:t>”</w:t>
      </w:r>
      <w:r w:rsidRPr="00223871">
        <w:rPr>
          <w:rFonts w:ascii="Arial" w:hAnsi="Arial" w:cs="Arial"/>
          <w:i/>
          <w:iCs/>
          <w:sz w:val="24"/>
          <w:szCs w:val="24"/>
        </w:rPr>
        <w:cr/>
      </w:r>
    </w:p>
    <w:p w14:paraId="13C214E7" w14:textId="77777777" w:rsidR="000575C5" w:rsidRPr="00223871" w:rsidRDefault="000575C5" w:rsidP="000575C5">
      <w:pPr>
        <w:spacing w:after="100" w:afterAutospacing="1" w:line="240" w:lineRule="auto"/>
        <w:ind w:left="720"/>
        <w:jc w:val="both"/>
        <w:rPr>
          <w:rFonts w:ascii="Arial" w:hAnsi="Arial" w:cs="Arial"/>
          <w:sz w:val="24"/>
          <w:szCs w:val="24"/>
        </w:rPr>
      </w:pPr>
      <w:r>
        <w:rPr>
          <w:rFonts w:ascii="Arial" w:hAnsi="Arial" w:cs="Arial"/>
          <w:sz w:val="24"/>
          <w:szCs w:val="24"/>
        </w:rPr>
        <w:t>In relation to ‘</w:t>
      </w:r>
      <w:r w:rsidRPr="00EA72ED">
        <w:rPr>
          <w:rFonts w:ascii="Arial" w:hAnsi="Arial" w:cs="Arial"/>
          <w:i/>
          <w:iCs/>
          <w:sz w:val="24"/>
          <w:szCs w:val="24"/>
        </w:rPr>
        <w:t>Help and support’</w:t>
      </w:r>
      <w:r>
        <w:rPr>
          <w:rFonts w:ascii="Arial" w:hAnsi="Arial" w:cs="Arial"/>
          <w:sz w:val="24"/>
          <w:szCs w:val="24"/>
        </w:rPr>
        <w:t xml:space="preserve"> it says:</w:t>
      </w:r>
    </w:p>
    <w:p w14:paraId="17A8A309" w14:textId="77777777" w:rsidR="000575C5" w:rsidRPr="00223871" w:rsidRDefault="000575C5" w:rsidP="000575C5">
      <w:pPr>
        <w:spacing w:before="120" w:after="120" w:line="240" w:lineRule="auto"/>
        <w:ind w:left="1440"/>
        <w:jc w:val="both"/>
        <w:rPr>
          <w:rFonts w:ascii="Arial" w:hAnsi="Arial" w:cs="Arial"/>
          <w:i/>
          <w:iCs/>
          <w:sz w:val="24"/>
          <w:szCs w:val="24"/>
        </w:rPr>
      </w:pPr>
      <w:r>
        <w:rPr>
          <w:rFonts w:ascii="Arial" w:hAnsi="Arial" w:cs="Arial"/>
          <w:i/>
          <w:iCs/>
          <w:sz w:val="24"/>
          <w:szCs w:val="24"/>
        </w:rPr>
        <w:t>“</w:t>
      </w:r>
      <w:r w:rsidRPr="00223871">
        <w:rPr>
          <w:rFonts w:ascii="Arial" w:hAnsi="Arial" w:cs="Arial"/>
          <w:i/>
          <w:iCs/>
          <w:sz w:val="24"/>
          <w:szCs w:val="24"/>
        </w:rPr>
        <w:t>The HMCTS online services for legal professionals provides additional guidance on how to use the online probate service.</w:t>
      </w:r>
    </w:p>
    <w:p w14:paraId="3B833DD4" w14:textId="77777777" w:rsidR="000575C5" w:rsidRPr="00223871" w:rsidRDefault="000575C5" w:rsidP="000575C5">
      <w:pPr>
        <w:spacing w:before="120" w:after="120" w:line="240" w:lineRule="auto"/>
        <w:ind w:left="1440"/>
        <w:jc w:val="both"/>
        <w:rPr>
          <w:rFonts w:ascii="Arial" w:hAnsi="Arial" w:cs="Arial"/>
          <w:i/>
          <w:iCs/>
          <w:sz w:val="24"/>
          <w:szCs w:val="24"/>
        </w:rPr>
      </w:pPr>
      <w:r w:rsidRPr="00223871">
        <w:rPr>
          <w:rFonts w:ascii="Arial" w:hAnsi="Arial" w:cs="Arial"/>
          <w:i/>
          <w:iCs/>
          <w:sz w:val="24"/>
          <w:szCs w:val="24"/>
        </w:rPr>
        <w:t>If you have any queries about MyHMCTS registration, please contact the support team</w:t>
      </w:r>
      <w:r>
        <w:rPr>
          <w:rFonts w:ascii="Arial" w:hAnsi="Arial" w:cs="Arial"/>
          <w:i/>
          <w:iCs/>
          <w:sz w:val="24"/>
          <w:szCs w:val="24"/>
        </w:rPr>
        <w:t xml:space="preserve"> </w:t>
      </w:r>
      <w:r w:rsidRPr="00223871">
        <w:rPr>
          <w:rFonts w:ascii="Arial" w:hAnsi="Arial" w:cs="Arial"/>
          <w:i/>
          <w:iCs/>
          <w:sz w:val="24"/>
          <w:szCs w:val="24"/>
        </w:rPr>
        <w:t>MyHMCTSsupport@justice.gov.uk.</w:t>
      </w:r>
    </w:p>
    <w:p w14:paraId="34E7B247" w14:textId="77777777" w:rsidR="000575C5" w:rsidRDefault="000575C5" w:rsidP="000575C5">
      <w:pPr>
        <w:spacing w:before="120" w:after="120" w:line="240" w:lineRule="auto"/>
        <w:ind w:left="1440"/>
        <w:jc w:val="both"/>
        <w:rPr>
          <w:rFonts w:ascii="Arial" w:hAnsi="Arial" w:cs="Arial"/>
          <w:i/>
          <w:iCs/>
          <w:sz w:val="24"/>
          <w:szCs w:val="24"/>
        </w:rPr>
      </w:pPr>
      <w:r w:rsidRPr="00223871">
        <w:rPr>
          <w:rFonts w:ascii="Arial" w:hAnsi="Arial" w:cs="Arial"/>
          <w:i/>
          <w:iCs/>
          <w:sz w:val="24"/>
          <w:szCs w:val="24"/>
        </w:rPr>
        <w:t>If you require further help or support, please email contactprobate@justice.gov.uk or</w:t>
      </w:r>
      <w:r>
        <w:rPr>
          <w:rFonts w:ascii="Arial" w:hAnsi="Arial" w:cs="Arial"/>
          <w:i/>
          <w:iCs/>
          <w:sz w:val="24"/>
          <w:szCs w:val="24"/>
        </w:rPr>
        <w:t xml:space="preserve"> </w:t>
      </w:r>
      <w:r w:rsidRPr="00223871">
        <w:rPr>
          <w:rFonts w:ascii="Arial" w:hAnsi="Arial" w:cs="Arial"/>
          <w:i/>
          <w:iCs/>
          <w:sz w:val="24"/>
          <w:szCs w:val="24"/>
        </w:rPr>
        <w:t>telephone 0300 303 0648.</w:t>
      </w:r>
      <w:r>
        <w:rPr>
          <w:rFonts w:ascii="Arial" w:hAnsi="Arial" w:cs="Arial"/>
          <w:i/>
          <w:iCs/>
          <w:sz w:val="24"/>
          <w:szCs w:val="24"/>
        </w:rPr>
        <w:t>”</w:t>
      </w:r>
    </w:p>
    <w:p w14:paraId="37AF137A" w14:textId="77777777" w:rsidR="000575C5" w:rsidRPr="0001091D" w:rsidRDefault="000575C5" w:rsidP="000575C5">
      <w:pPr>
        <w:spacing w:before="100" w:beforeAutospacing="1" w:after="100" w:afterAutospacing="1" w:line="240" w:lineRule="auto"/>
        <w:ind w:left="720"/>
        <w:jc w:val="both"/>
        <w:rPr>
          <w:rFonts w:ascii="Arial" w:hAnsi="Arial" w:cs="Arial"/>
          <w:i/>
          <w:iCs/>
          <w:sz w:val="24"/>
          <w:szCs w:val="24"/>
        </w:rPr>
      </w:pPr>
      <w:r>
        <w:rPr>
          <w:rFonts w:ascii="Arial" w:hAnsi="Arial" w:cs="Arial"/>
          <w:sz w:val="24"/>
          <w:szCs w:val="24"/>
        </w:rPr>
        <w:t xml:space="preserve">The STEP UK News Digest 29 October 2020 reported that </w:t>
      </w:r>
    </w:p>
    <w:p w14:paraId="528B0650" w14:textId="77777777" w:rsidR="000575C5" w:rsidRDefault="000575C5" w:rsidP="000575C5">
      <w:pPr>
        <w:spacing w:before="100" w:beforeAutospacing="1" w:after="100" w:afterAutospacing="1" w:line="240" w:lineRule="auto"/>
        <w:ind w:left="1440"/>
        <w:jc w:val="both"/>
        <w:rPr>
          <w:rFonts w:ascii="Arial" w:hAnsi="Arial" w:cs="Arial"/>
          <w:i/>
          <w:iCs/>
          <w:sz w:val="24"/>
          <w:szCs w:val="24"/>
        </w:rPr>
      </w:pPr>
      <w:r w:rsidRPr="0048429D">
        <w:rPr>
          <w:rFonts w:ascii="Arial" w:hAnsi="Arial" w:cs="Arial"/>
          <w:i/>
          <w:iCs/>
          <w:sz w:val="24"/>
          <w:szCs w:val="24"/>
        </w:rPr>
        <w:t xml:space="preserve"> “HMCTS has requested that if practitioners email for assistance, they include the word ‘probate’ in the subject of the email, to ensure the request is actioned efficiently.”</w:t>
      </w:r>
    </w:p>
    <w:p w14:paraId="3A7E007B" w14:textId="77777777" w:rsidR="000575C5" w:rsidRPr="0001091D" w:rsidRDefault="000575C5" w:rsidP="000575C5">
      <w:pPr>
        <w:spacing w:before="100" w:beforeAutospacing="1" w:after="100" w:afterAutospacing="1" w:line="240" w:lineRule="auto"/>
        <w:ind w:left="709"/>
        <w:jc w:val="both"/>
        <w:rPr>
          <w:rFonts w:ascii="Arial" w:eastAsia="Calibri" w:hAnsi="Arial" w:cs="Arial"/>
          <w:bCs/>
          <w:sz w:val="24"/>
          <w:szCs w:val="24"/>
        </w:rPr>
      </w:pPr>
      <w:r w:rsidRPr="0001091D">
        <w:rPr>
          <w:rFonts w:ascii="Arial" w:eastAsia="Calibri" w:hAnsi="Arial" w:cs="Arial"/>
          <w:bCs/>
          <w:sz w:val="24"/>
          <w:szCs w:val="24"/>
        </w:rPr>
        <w:t xml:space="preserve">The Law Society Gazette 2 November 2020 said that it understood that </w:t>
      </w:r>
    </w:p>
    <w:p w14:paraId="0EE54B39" w14:textId="77777777" w:rsidR="000575C5" w:rsidRPr="0001091D" w:rsidRDefault="000575C5" w:rsidP="000575C5">
      <w:pPr>
        <w:spacing w:before="100" w:beforeAutospacing="1" w:after="100" w:afterAutospacing="1" w:line="240" w:lineRule="auto"/>
        <w:ind w:left="1440"/>
        <w:jc w:val="both"/>
        <w:rPr>
          <w:rFonts w:ascii="Arial" w:eastAsia="Calibri" w:hAnsi="Arial" w:cs="Arial"/>
          <w:bCs/>
          <w:i/>
          <w:iCs/>
          <w:sz w:val="24"/>
          <w:szCs w:val="24"/>
        </w:rPr>
      </w:pPr>
      <w:r w:rsidRPr="0001091D">
        <w:rPr>
          <w:rFonts w:ascii="Arial" w:eastAsia="Calibri" w:hAnsi="Arial" w:cs="Arial"/>
          <w:bCs/>
          <w:i/>
          <w:iCs/>
          <w:sz w:val="24"/>
          <w:szCs w:val="24"/>
        </w:rPr>
        <w:t>“the digital platform used by HM Courts &amp; Tribunals Service is not compatible with older web browsers such as Internet Explorer commonly used by small and medium sized firms. This has meant some solicitors have struggled to submit digital applications.”</w:t>
      </w:r>
    </w:p>
    <w:p w14:paraId="0D8389B3" w14:textId="77777777" w:rsidR="000575C5" w:rsidRDefault="000575C5" w:rsidP="000575C5">
      <w:pPr>
        <w:spacing w:before="100" w:beforeAutospacing="1" w:after="100" w:afterAutospacing="1" w:line="240" w:lineRule="auto"/>
        <w:ind w:left="709"/>
        <w:jc w:val="both"/>
        <w:rPr>
          <w:rFonts w:ascii="Arial" w:eastAsia="Calibri" w:hAnsi="Arial" w:cs="Arial"/>
          <w:bCs/>
          <w:sz w:val="24"/>
          <w:szCs w:val="24"/>
        </w:rPr>
      </w:pPr>
      <w:r w:rsidRPr="0001091D">
        <w:rPr>
          <w:rFonts w:ascii="Arial" w:eastAsia="Calibri" w:hAnsi="Arial" w:cs="Arial"/>
          <w:bCs/>
          <w:sz w:val="24"/>
          <w:szCs w:val="24"/>
        </w:rPr>
        <w:t>Apparently, it is necessary to use Firefox or Chrome.</w:t>
      </w:r>
    </w:p>
    <w:p w14:paraId="0A465027" w14:textId="77777777" w:rsidR="000575C5" w:rsidRDefault="000575C5" w:rsidP="000575C5">
      <w:pPr>
        <w:spacing w:before="100" w:beforeAutospacing="1" w:after="100" w:afterAutospacing="1" w:line="240" w:lineRule="auto"/>
        <w:rPr>
          <w:rFonts w:ascii="Arial" w:eastAsia="Calibri" w:hAnsi="Arial" w:cs="Arial"/>
          <w:b/>
          <w:sz w:val="24"/>
          <w:szCs w:val="24"/>
        </w:rPr>
      </w:pPr>
    </w:p>
    <w:p w14:paraId="467D9D84" w14:textId="145610FB" w:rsidR="000575C5" w:rsidRDefault="000575C5" w:rsidP="000575C5">
      <w:pPr>
        <w:spacing w:before="100" w:beforeAutospacing="1" w:after="100" w:afterAutospacing="1" w:line="240" w:lineRule="auto"/>
        <w:rPr>
          <w:rFonts w:ascii="Arial" w:eastAsia="Calibri" w:hAnsi="Arial" w:cs="Arial"/>
          <w:b/>
          <w:sz w:val="24"/>
          <w:szCs w:val="24"/>
        </w:rPr>
      </w:pPr>
      <w:r>
        <w:rPr>
          <w:rFonts w:ascii="Arial" w:eastAsia="Calibri" w:hAnsi="Arial" w:cs="Arial"/>
          <w:b/>
          <w:sz w:val="24"/>
          <w:szCs w:val="24"/>
        </w:rPr>
        <w:lastRenderedPageBreak/>
        <w:t>2.</w:t>
      </w:r>
      <w:r>
        <w:rPr>
          <w:rFonts w:ascii="Arial" w:eastAsia="Calibri" w:hAnsi="Arial" w:cs="Arial"/>
          <w:b/>
          <w:sz w:val="24"/>
          <w:szCs w:val="24"/>
        </w:rPr>
        <w:tab/>
        <w:t>Probate FAQs</w:t>
      </w:r>
    </w:p>
    <w:p w14:paraId="5C10B761" w14:textId="77777777" w:rsidR="000575C5" w:rsidRDefault="000575C5" w:rsidP="000575C5">
      <w:pPr>
        <w:spacing w:before="100" w:beforeAutospacing="1" w:after="100" w:afterAutospacing="1" w:line="240" w:lineRule="auto"/>
        <w:ind w:left="720"/>
        <w:jc w:val="both"/>
        <w:rPr>
          <w:rFonts w:ascii="Arial" w:eastAsia="Calibri" w:hAnsi="Arial" w:cs="Arial"/>
          <w:bCs/>
          <w:sz w:val="24"/>
          <w:szCs w:val="24"/>
        </w:rPr>
      </w:pPr>
      <w:bookmarkStart w:id="2" w:name="_Hlk50816596"/>
      <w:r>
        <w:rPr>
          <w:rFonts w:ascii="Arial" w:eastAsia="Calibri" w:hAnsi="Arial" w:cs="Arial"/>
          <w:bCs/>
          <w:sz w:val="24"/>
          <w:szCs w:val="24"/>
        </w:rPr>
        <w:t xml:space="preserve">HMCTS issued  </w:t>
      </w:r>
      <w:r w:rsidRPr="00776C7A">
        <w:rPr>
          <w:rFonts w:ascii="Arial" w:eastAsia="Calibri" w:hAnsi="Arial" w:cs="Arial"/>
          <w:bCs/>
          <w:i/>
          <w:iCs/>
          <w:sz w:val="24"/>
          <w:szCs w:val="24"/>
        </w:rPr>
        <w:t xml:space="preserve">Probate Frequently </w:t>
      </w:r>
      <w:r>
        <w:rPr>
          <w:rFonts w:ascii="Arial" w:eastAsia="Calibri" w:hAnsi="Arial" w:cs="Arial"/>
          <w:bCs/>
          <w:i/>
          <w:iCs/>
          <w:sz w:val="24"/>
          <w:szCs w:val="24"/>
        </w:rPr>
        <w:t>A</w:t>
      </w:r>
      <w:r w:rsidRPr="00776C7A">
        <w:rPr>
          <w:rFonts w:ascii="Arial" w:eastAsia="Calibri" w:hAnsi="Arial" w:cs="Arial"/>
          <w:bCs/>
          <w:i/>
          <w:iCs/>
          <w:sz w:val="24"/>
          <w:szCs w:val="24"/>
        </w:rPr>
        <w:t xml:space="preserve">sked </w:t>
      </w:r>
      <w:r>
        <w:rPr>
          <w:rFonts w:ascii="Arial" w:eastAsia="Calibri" w:hAnsi="Arial" w:cs="Arial"/>
          <w:bCs/>
          <w:i/>
          <w:iCs/>
          <w:sz w:val="24"/>
          <w:szCs w:val="24"/>
        </w:rPr>
        <w:t>Q</w:t>
      </w:r>
      <w:r w:rsidRPr="00776C7A">
        <w:rPr>
          <w:rFonts w:ascii="Arial" w:eastAsia="Calibri" w:hAnsi="Arial" w:cs="Arial"/>
          <w:bCs/>
          <w:i/>
          <w:iCs/>
          <w:sz w:val="24"/>
          <w:szCs w:val="24"/>
        </w:rPr>
        <w:t>uestions</w:t>
      </w:r>
      <w:r>
        <w:rPr>
          <w:rFonts w:ascii="Arial" w:eastAsia="Calibri" w:hAnsi="Arial" w:cs="Arial"/>
          <w:bCs/>
          <w:sz w:val="24"/>
          <w:szCs w:val="24"/>
        </w:rPr>
        <w:t xml:space="preserve"> on June 10 and has said that it will be updated on a rolling basis.</w:t>
      </w:r>
    </w:p>
    <w:p w14:paraId="0857E9B2" w14:textId="77777777" w:rsidR="000575C5" w:rsidRDefault="000575C5" w:rsidP="000575C5">
      <w:pPr>
        <w:spacing w:before="100" w:beforeAutospacing="1" w:after="100" w:afterAutospacing="1" w:line="240" w:lineRule="auto"/>
        <w:ind w:left="720"/>
        <w:jc w:val="both"/>
        <w:rPr>
          <w:rFonts w:ascii="Arial" w:eastAsia="Calibri" w:hAnsi="Arial" w:cs="Arial"/>
          <w:bCs/>
          <w:sz w:val="24"/>
          <w:szCs w:val="24"/>
        </w:rPr>
      </w:pPr>
      <w:r>
        <w:rPr>
          <w:rFonts w:ascii="Arial" w:eastAsia="Calibri" w:hAnsi="Arial" w:cs="Arial"/>
          <w:bCs/>
          <w:sz w:val="24"/>
          <w:szCs w:val="24"/>
        </w:rPr>
        <w:t>Much of what is said about paper applications is no longer relevant to practitioners who are now required to use the on-line process for grants of probate.</w:t>
      </w:r>
    </w:p>
    <w:p w14:paraId="5AFD5AF8" w14:textId="77777777" w:rsidR="000575C5" w:rsidRPr="00ED0DB6" w:rsidRDefault="000575C5" w:rsidP="000575C5">
      <w:pPr>
        <w:pStyle w:val="ListParagraph"/>
        <w:numPr>
          <w:ilvl w:val="0"/>
          <w:numId w:val="17"/>
        </w:numPr>
        <w:spacing w:before="100" w:beforeAutospacing="1" w:after="120" w:line="240" w:lineRule="auto"/>
        <w:ind w:left="1077" w:hanging="357"/>
        <w:jc w:val="both"/>
        <w:rPr>
          <w:rFonts w:ascii="Arial" w:hAnsi="Arial" w:cs="Arial"/>
          <w:b/>
          <w:bCs/>
          <w:sz w:val="24"/>
          <w:szCs w:val="24"/>
        </w:rPr>
      </w:pPr>
      <w:r>
        <w:rPr>
          <w:rFonts w:ascii="Arial" w:hAnsi="Arial" w:cs="Arial"/>
          <w:b/>
          <w:bCs/>
          <w:sz w:val="24"/>
          <w:szCs w:val="24"/>
        </w:rPr>
        <w:t>Online applications</w:t>
      </w:r>
    </w:p>
    <w:p w14:paraId="4497BB8D" w14:textId="77777777" w:rsidR="000575C5" w:rsidRDefault="000575C5" w:rsidP="000575C5">
      <w:pPr>
        <w:spacing w:before="100" w:beforeAutospacing="1" w:after="100" w:afterAutospacing="1" w:line="240" w:lineRule="auto"/>
        <w:ind w:left="1077"/>
        <w:jc w:val="both"/>
        <w:rPr>
          <w:rFonts w:ascii="Arial" w:hAnsi="Arial" w:cs="Arial"/>
          <w:sz w:val="24"/>
          <w:szCs w:val="24"/>
        </w:rPr>
      </w:pPr>
      <w:r>
        <w:rPr>
          <w:rFonts w:ascii="Arial" w:hAnsi="Arial" w:cs="Arial"/>
          <w:sz w:val="24"/>
          <w:szCs w:val="24"/>
        </w:rPr>
        <w:t xml:space="preserve">If you apply online, you have to send supporting documents. </w:t>
      </w:r>
    </w:p>
    <w:p w14:paraId="0C02F9CD" w14:textId="77777777" w:rsidR="000575C5" w:rsidRDefault="000575C5" w:rsidP="000575C5">
      <w:pPr>
        <w:spacing w:before="100" w:beforeAutospacing="1" w:after="100" w:afterAutospacing="1" w:line="240" w:lineRule="auto"/>
        <w:ind w:left="1077"/>
        <w:jc w:val="both"/>
        <w:rPr>
          <w:rFonts w:ascii="Arial" w:hAnsi="Arial" w:cs="Arial"/>
          <w:sz w:val="24"/>
          <w:szCs w:val="24"/>
        </w:rPr>
      </w:pPr>
      <w:r>
        <w:rPr>
          <w:rFonts w:ascii="Arial" w:hAnsi="Arial" w:cs="Arial"/>
          <w:sz w:val="24"/>
          <w:szCs w:val="24"/>
        </w:rPr>
        <w:t>A8 of the FAQs says:</w:t>
      </w:r>
    </w:p>
    <w:p w14:paraId="6935DE53" w14:textId="5E92515E" w:rsidR="000575C5" w:rsidRDefault="000575C5" w:rsidP="000575C5">
      <w:pPr>
        <w:spacing w:before="100" w:beforeAutospacing="1" w:after="100" w:afterAutospacing="1" w:line="240" w:lineRule="auto"/>
        <w:ind w:left="1440"/>
        <w:jc w:val="both"/>
        <w:rPr>
          <w:rFonts w:ascii="Arial" w:hAnsi="Arial" w:cs="Arial"/>
          <w:i/>
          <w:iCs/>
          <w:sz w:val="24"/>
          <w:szCs w:val="24"/>
        </w:rPr>
      </w:pPr>
      <w:r w:rsidRPr="00994671">
        <w:rPr>
          <w:rFonts w:ascii="Arial" w:hAnsi="Arial" w:cs="Arial"/>
          <w:i/>
          <w:iCs/>
          <w:sz w:val="24"/>
          <w:szCs w:val="24"/>
        </w:rPr>
        <w:t>“You will be given a list of all the supporting documents you need to provide and where you need to send them once you have submitted your application. You will not have to produce a cover letter to go with these documents – the system will generate one for you. You do not need to send two copies of the will with online applications, although we would advise having copies for your own files.”</w:t>
      </w:r>
    </w:p>
    <w:p w14:paraId="3BA197EB" w14:textId="32FF4BB8" w:rsidR="00D12AB4" w:rsidRPr="002922EA" w:rsidRDefault="00D12AB4" w:rsidP="00D12AB4">
      <w:pPr>
        <w:spacing w:before="100" w:beforeAutospacing="1" w:after="100" w:afterAutospacing="1" w:line="240" w:lineRule="auto"/>
        <w:ind w:left="1134"/>
        <w:jc w:val="both"/>
        <w:rPr>
          <w:rFonts w:ascii="Arial" w:hAnsi="Arial" w:cs="Arial"/>
          <w:b/>
          <w:bCs/>
          <w:sz w:val="24"/>
          <w:szCs w:val="24"/>
        </w:rPr>
      </w:pPr>
      <w:r>
        <w:rPr>
          <w:rFonts w:ascii="Arial" w:hAnsi="Arial" w:cs="Arial"/>
          <w:b/>
          <w:bCs/>
          <w:sz w:val="24"/>
          <w:szCs w:val="24"/>
        </w:rPr>
        <w:t>In relation to signatures the FAQs say:</w:t>
      </w:r>
    </w:p>
    <w:p w14:paraId="414DEC5C" w14:textId="77777777" w:rsidR="00D12AB4" w:rsidRPr="002922EA" w:rsidRDefault="00D12AB4" w:rsidP="00D12AB4">
      <w:pPr>
        <w:spacing w:before="120" w:after="120" w:line="240" w:lineRule="auto"/>
        <w:ind w:left="1440"/>
        <w:jc w:val="both"/>
        <w:rPr>
          <w:rFonts w:ascii="Arial" w:hAnsi="Arial" w:cs="Arial"/>
          <w:sz w:val="24"/>
          <w:szCs w:val="24"/>
        </w:rPr>
      </w:pPr>
      <w:r w:rsidRPr="002922EA">
        <w:rPr>
          <w:rFonts w:ascii="Arial" w:hAnsi="Arial" w:cs="Arial"/>
          <w:sz w:val="24"/>
          <w:szCs w:val="24"/>
        </w:rPr>
        <w:t xml:space="preserve">Q1. </w:t>
      </w:r>
      <w:r>
        <w:rPr>
          <w:rFonts w:ascii="Arial" w:hAnsi="Arial" w:cs="Arial"/>
          <w:sz w:val="24"/>
          <w:szCs w:val="24"/>
        </w:rPr>
        <w:tab/>
      </w:r>
      <w:r w:rsidRPr="002922EA">
        <w:rPr>
          <w:rFonts w:ascii="Arial" w:hAnsi="Arial" w:cs="Arial"/>
          <w:sz w:val="24"/>
          <w:szCs w:val="24"/>
        </w:rPr>
        <w:t xml:space="preserve">Can I sign the legal statement on behalf of my client, or do they </w:t>
      </w:r>
      <w:r>
        <w:rPr>
          <w:rFonts w:ascii="Arial" w:hAnsi="Arial" w:cs="Arial"/>
          <w:sz w:val="24"/>
          <w:szCs w:val="24"/>
        </w:rPr>
        <w:br/>
      </w:r>
      <w:r>
        <w:rPr>
          <w:rFonts w:ascii="Arial" w:hAnsi="Arial" w:cs="Arial"/>
          <w:sz w:val="24"/>
          <w:szCs w:val="24"/>
        </w:rPr>
        <w:tab/>
      </w:r>
      <w:r w:rsidRPr="002922EA">
        <w:rPr>
          <w:rFonts w:ascii="Arial" w:hAnsi="Arial" w:cs="Arial"/>
          <w:sz w:val="24"/>
          <w:szCs w:val="24"/>
        </w:rPr>
        <w:t>need to be</w:t>
      </w:r>
      <w:r>
        <w:rPr>
          <w:rFonts w:ascii="Arial" w:hAnsi="Arial" w:cs="Arial"/>
          <w:sz w:val="24"/>
          <w:szCs w:val="24"/>
        </w:rPr>
        <w:t xml:space="preserve"> s</w:t>
      </w:r>
      <w:r w:rsidRPr="002922EA">
        <w:rPr>
          <w:rFonts w:ascii="Arial" w:hAnsi="Arial" w:cs="Arial"/>
          <w:sz w:val="24"/>
          <w:szCs w:val="24"/>
        </w:rPr>
        <w:t>ent a copy of</w:t>
      </w:r>
      <w:r>
        <w:rPr>
          <w:rFonts w:ascii="Arial" w:hAnsi="Arial" w:cs="Arial"/>
          <w:sz w:val="24"/>
          <w:szCs w:val="24"/>
        </w:rPr>
        <w:t xml:space="preserve"> </w:t>
      </w:r>
      <w:r w:rsidRPr="002922EA">
        <w:rPr>
          <w:rFonts w:ascii="Arial" w:hAnsi="Arial" w:cs="Arial"/>
          <w:sz w:val="24"/>
          <w:szCs w:val="24"/>
        </w:rPr>
        <w:t>the legal statement to sign?</w:t>
      </w:r>
    </w:p>
    <w:p w14:paraId="65716507" w14:textId="77777777" w:rsidR="00D12AB4" w:rsidRPr="002922EA" w:rsidRDefault="00D12AB4" w:rsidP="00D12AB4">
      <w:pPr>
        <w:spacing w:before="120" w:after="120" w:line="240" w:lineRule="auto"/>
        <w:ind w:left="1440"/>
        <w:jc w:val="both"/>
        <w:rPr>
          <w:rFonts w:ascii="Arial" w:hAnsi="Arial" w:cs="Arial"/>
          <w:sz w:val="24"/>
          <w:szCs w:val="24"/>
        </w:rPr>
      </w:pPr>
      <w:r w:rsidRPr="002922EA">
        <w:rPr>
          <w:rFonts w:ascii="Arial" w:hAnsi="Arial" w:cs="Arial"/>
          <w:sz w:val="24"/>
          <w:szCs w:val="24"/>
        </w:rPr>
        <w:t xml:space="preserve">A1. </w:t>
      </w:r>
      <w:r>
        <w:rPr>
          <w:rFonts w:ascii="Arial" w:hAnsi="Arial" w:cs="Arial"/>
          <w:sz w:val="24"/>
          <w:szCs w:val="24"/>
        </w:rPr>
        <w:tab/>
      </w:r>
      <w:r w:rsidRPr="002922EA">
        <w:rPr>
          <w:rFonts w:ascii="Arial" w:hAnsi="Arial" w:cs="Arial"/>
          <w:sz w:val="24"/>
          <w:szCs w:val="24"/>
        </w:rPr>
        <w:t>You must send it to your client to sign.</w:t>
      </w:r>
    </w:p>
    <w:p w14:paraId="4A3DB50E" w14:textId="77777777" w:rsidR="00D12AB4" w:rsidRPr="002922EA" w:rsidRDefault="00D12AB4" w:rsidP="00D12AB4">
      <w:pPr>
        <w:spacing w:before="120" w:after="120" w:line="240" w:lineRule="auto"/>
        <w:ind w:left="1440"/>
        <w:jc w:val="both"/>
        <w:rPr>
          <w:rFonts w:ascii="Arial" w:hAnsi="Arial" w:cs="Arial"/>
          <w:sz w:val="24"/>
          <w:szCs w:val="24"/>
        </w:rPr>
      </w:pPr>
      <w:r w:rsidRPr="002922EA">
        <w:rPr>
          <w:rFonts w:ascii="Arial" w:hAnsi="Arial" w:cs="Arial"/>
          <w:sz w:val="24"/>
          <w:szCs w:val="24"/>
        </w:rPr>
        <w:t>Q2.</w:t>
      </w:r>
      <w:r>
        <w:rPr>
          <w:rFonts w:ascii="Arial" w:hAnsi="Arial" w:cs="Arial"/>
          <w:sz w:val="24"/>
          <w:szCs w:val="24"/>
        </w:rPr>
        <w:tab/>
      </w:r>
      <w:r w:rsidRPr="002922EA">
        <w:rPr>
          <w:rFonts w:ascii="Arial" w:hAnsi="Arial" w:cs="Arial"/>
          <w:sz w:val="24"/>
          <w:szCs w:val="24"/>
        </w:rPr>
        <w:t xml:space="preserve"> Can the client sign the legal statement electronically, in addition </w:t>
      </w:r>
      <w:r>
        <w:rPr>
          <w:rFonts w:ascii="Arial" w:hAnsi="Arial" w:cs="Arial"/>
          <w:sz w:val="24"/>
          <w:szCs w:val="24"/>
        </w:rPr>
        <w:br/>
      </w:r>
      <w:r>
        <w:rPr>
          <w:rFonts w:ascii="Arial" w:hAnsi="Arial" w:cs="Arial"/>
          <w:sz w:val="24"/>
          <w:szCs w:val="24"/>
        </w:rPr>
        <w:tab/>
      </w:r>
      <w:r w:rsidRPr="002922EA">
        <w:rPr>
          <w:rFonts w:ascii="Arial" w:hAnsi="Arial" w:cs="Arial"/>
          <w:sz w:val="24"/>
          <w:szCs w:val="24"/>
        </w:rPr>
        <w:t>to a wet signature?</w:t>
      </w:r>
    </w:p>
    <w:p w14:paraId="3C57A910" w14:textId="77777777" w:rsidR="00D12AB4" w:rsidRDefault="00D12AB4" w:rsidP="00D12AB4">
      <w:pPr>
        <w:spacing w:before="120" w:after="120" w:line="240" w:lineRule="auto"/>
        <w:ind w:left="1440"/>
        <w:jc w:val="both"/>
        <w:rPr>
          <w:rFonts w:ascii="Arial" w:hAnsi="Arial" w:cs="Arial"/>
          <w:sz w:val="24"/>
          <w:szCs w:val="24"/>
        </w:rPr>
      </w:pPr>
      <w:r w:rsidRPr="002922EA">
        <w:rPr>
          <w:rFonts w:ascii="Arial" w:hAnsi="Arial" w:cs="Arial"/>
          <w:sz w:val="24"/>
          <w:szCs w:val="24"/>
        </w:rPr>
        <w:t xml:space="preserve">A2. </w:t>
      </w:r>
      <w:r>
        <w:rPr>
          <w:rFonts w:ascii="Arial" w:hAnsi="Arial" w:cs="Arial"/>
          <w:sz w:val="24"/>
          <w:szCs w:val="24"/>
        </w:rPr>
        <w:tab/>
      </w:r>
      <w:r w:rsidRPr="002922EA">
        <w:rPr>
          <w:rFonts w:ascii="Arial" w:hAnsi="Arial" w:cs="Arial"/>
          <w:sz w:val="24"/>
          <w:szCs w:val="24"/>
        </w:rPr>
        <w:t>Yes, they can sign electronically.</w:t>
      </w:r>
    </w:p>
    <w:p w14:paraId="2FAD02E5" w14:textId="77777777" w:rsidR="000575C5" w:rsidRPr="001C6CC7" w:rsidRDefault="000575C5" w:rsidP="00D12AB4">
      <w:pPr>
        <w:pStyle w:val="ListParagraph"/>
        <w:numPr>
          <w:ilvl w:val="0"/>
          <w:numId w:val="26"/>
        </w:numPr>
        <w:spacing w:before="100" w:beforeAutospacing="1" w:after="100" w:afterAutospacing="1" w:line="240" w:lineRule="auto"/>
        <w:ind w:left="1134" w:hanging="425"/>
        <w:jc w:val="both"/>
        <w:rPr>
          <w:rFonts w:ascii="Arial" w:hAnsi="Arial" w:cs="Arial"/>
          <w:i/>
          <w:iCs/>
          <w:sz w:val="24"/>
          <w:szCs w:val="24"/>
        </w:rPr>
      </w:pPr>
      <w:r w:rsidRPr="001C6CC7">
        <w:rPr>
          <w:rFonts w:ascii="Arial" w:eastAsia="Calibri" w:hAnsi="Arial" w:cs="Arial"/>
          <w:b/>
          <w:sz w:val="24"/>
          <w:szCs w:val="24"/>
        </w:rPr>
        <w:t>Paper Applications</w:t>
      </w:r>
      <w:r w:rsidRPr="001C6CC7">
        <w:rPr>
          <w:rFonts w:ascii="Arial" w:eastAsia="Calibri" w:hAnsi="Arial" w:cs="Arial"/>
          <w:b/>
          <w:sz w:val="24"/>
          <w:szCs w:val="24"/>
        </w:rPr>
        <w:tab/>
      </w:r>
    </w:p>
    <w:p w14:paraId="1B54CBA2" w14:textId="77777777" w:rsidR="000575C5" w:rsidRDefault="000575C5" w:rsidP="000575C5">
      <w:pPr>
        <w:spacing w:before="100" w:beforeAutospacing="1" w:after="100" w:afterAutospacing="1" w:line="240" w:lineRule="auto"/>
        <w:ind w:left="1077"/>
        <w:jc w:val="both"/>
        <w:rPr>
          <w:rFonts w:ascii="Arial" w:eastAsia="Calibri" w:hAnsi="Arial" w:cs="Arial"/>
          <w:bCs/>
          <w:sz w:val="24"/>
          <w:szCs w:val="24"/>
        </w:rPr>
      </w:pPr>
      <w:r>
        <w:rPr>
          <w:rFonts w:ascii="Arial" w:eastAsia="Calibri" w:hAnsi="Arial" w:cs="Arial"/>
          <w:bCs/>
          <w:sz w:val="24"/>
          <w:szCs w:val="24"/>
        </w:rPr>
        <w:t>There are currently 4 forms: PA1P for applications where there is a will and PA1A where there is no will. Each is available in a c</w:t>
      </w:r>
      <w:r w:rsidRPr="001C6CC7">
        <w:rPr>
          <w:rFonts w:ascii="Arial" w:eastAsia="Calibri" w:hAnsi="Arial" w:cs="Arial"/>
          <w:bCs/>
          <w:sz w:val="24"/>
          <w:szCs w:val="24"/>
        </w:rPr>
        <w:t>itizen and professional version</w:t>
      </w:r>
      <w:r>
        <w:rPr>
          <w:rFonts w:ascii="Arial" w:eastAsia="Calibri" w:hAnsi="Arial" w:cs="Arial"/>
          <w:bCs/>
          <w:sz w:val="24"/>
          <w:szCs w:val="24"/>
        </w:rPr>
        <w:t>. Earlier in the year we were promised a combined version of each but there is no sign as yet.</w:t>
      </w:r>
    </w:p>
    <w:p w14:paraId="1F14C16C" w14:textId="77777777" w:rsidR="000575C5" w:rsidRDefault="000575C5" w:rsidP="000575C5">
      <w:pPr>
        <w:spacing w:before="100" w:beforeAutospacing="1" w:after="100" w:afterAutospacing="1" w:line="240" w:lineRule="auto"/>
        <w:ind w:left="1077"/>
        <w:jc w:val="both"/>
        <w:rPr>
          <w:rFonts w:ascii="Arial" w:eastAsia="Calibri" w:hAnsi="Arial" w:cs="Arial"/>
          <w:bCs/>
          <w:sz w:val="24"/>
          <w:szCs w:val="24"/>
        </w:rPr>
      </w:pPr>
      <w:r w:rsidRPr="001C6CC7">
        <w:rPr>
          <w:rFonts w:ascii="Arial" w:eastAsia="Calibri" w:hAnsi="Arial" w:cs="Arial"/>
          <w:bCs/>
          <w:sz w:val="24"/>
          <w:szCs w:val="24"/>
        </w:rPr>
        <w:t xml:space="preserve"> </w:t>
      </w:r>
      <w:r w:rsidRPr="00EA72ED">
        <w:rPr>
          <w:rFonts w:ascii="Arial" w:eastAsia="Calibri" w:hAnsi="Arial" w:cs="Arial"/>
          <w:bCs/>
          <w:sz w:val="24"/>
          <w:szCs w:val="24"/>
        </w:rPr>
        <w:t xml:space="preserve">If circumstances are unusual, the instruction is to complete box 2.15 </w:t>
      </w:r>
      <w:r>
        <w:rPr>
          <w:rFonts w:ascii="Arial" w:eastAsia="Calibri" w:hAnsi="Arial" w:cs="Arial"/>
          <w:bCs/>
          <w:sz w:val="24"/>
          <w:szCs w:val="24"/>
        </w:rPr>
        <w:t xml:space="preserve">or 2.16 </w:t>
      </w:r>
      <w:r w:rsidRPr="00EA72ED">
        <w:rPr>
          <w:rFonts w:ascii="Arial" w:eastAsia="Calibri" w:hAnsi="Arial" w:cs="Arial"/>
          <w:bCs/>
          <w:sz w:val="24"/>
          <w:szCs w:val="24"/>
        </w:rPr>
        <w:t>on the PA1A.</w:t>
      </w:r>
      <w:r>
        <w:rPr>
          <w:rFonts w:ascii="Arial" w:eastAsia="Calibri" w:hAnsi="Arial" w:cs="Arial"/>
          <w:bCs/>
          <w:sz w:val="24"/>
          <w:szCs w:val="24"/>
        </w:rPr>
        <w:t xml:space="preserve"> or PA1P</w:t>
      </w:r>
      <w:r w:rsidRPr="00EA72ED">
        <w:rPr>
          <w:rFonts w:ascii="Arial" w:eastAsia="Calibri" w:hAnsi="Arial" w:cs="Arial"/>
          <w:bCs/>
          <w:sz w:val="24"/>
          <w:szCs w:val="24"/>
        </w:rPr>
        <w:t xml:space="preserve"> </w:t>
      </w:r>
    </w:p>
    <w:p w14:paraId="7A4D0F38" w14:textId="77777777" w:rsidR="000575C5" w:rsidRPr="00EA72ED" w:rsidRDefault="000575C5" w:rsidP="000575C5">
      <w:pPr>
        <w:spacing w:before="100" w:beforeAutospacing="1" w:after="100" w:afterAutospacing="1" w:line="240" w:lineRule="auto"/>
        <w:ind w:left="1077"/>
        <w:jc w:val="both"/>
        <w:rPr>
          <w:rFonts w:ascii="Arial" w:hAnsi="Arial" w:cs="Arial"/>
          <w:i/>
          <w:iCs/>
          <w:sz w:val="24"/>
          <w:szCs w:val="24"/>
        </w:rPr>
      </w:pPr>
      <w:r w:rsidRPr="00EA72ED">
        <w:rPr>
          <w:rFonts w:ascii="Arial" w:hAnsi="Arial" w:cs="Arial"/>
          <w:sz w:val="24"/>
          <w:szCs w:val="24"/>
        </w:rPr>
        <w:t>The PA4SOT now says</w:t>
      </w:r>
      <w:r w:rsidRPr="00EA72ED">
        <w:rPr>
          <w:rFonts w:ascii="Arial" w:hAnsi="Arial" w:cs="Arial"/>
          <w:i/>
          <w:iCs/>
          <w:sz w:val="24"/>
          <w:szCs w:val="24"/>
        </w:rPr>
        <w:t xml:space="preserve"> “Please send your form and required documents to:</w:t>
      </w:r>
      <w:r>
        <w:rPr>
          <w:rFonts w:ascii="Arial" w:hAnsi="Arial" w:cs="Arial"/>
          <w:i/>
          <w:iCs/>
          <w:sz w:val="24"/>
          <w:szCs w:val="24"/>
        </w:rPr>
        <w:t xml:space="preserve"> </w:t>
      </w:r>
      <w:r w:rsidRPr="00EA72ED">
        <w:rPr>
          <w:rFonts w:ascii="Arial" w:hAnsi="Arial" w:cs="Arial"/>
          <w:i/>
          <w:iCs/>
          <w:sz w:val="24"/>
          <w:szCs w:val="24"/>
        </w:rPr>
        <w:t>HMCTS Probate, PO Box 12625, Harlow, CM20 9QE”</w:t>
      </w:r>
    </w:p>
    <w:bookmarkEnd w:id="2"/>
    <w:p w14:paraId="12E34BD0" w14:textId="4671F3B2" w:rsidR="00D12AB4" w:rsidRDefault="00D12AB4" w:rsidP="000575C5">
      <w:pPr>
        <w:spacing w:before="100" w:beforeAutospacing="1" w:after="100" w:afterAutospacing="1" w:line="240" w:lineRule="auto"/>
        <w:ind w:left="720"/>
        <w:jc w:val="both"/>
        <w:rPr>
          <w:rFonts w:ascii="Arial" w:hAnsi="Arial" w:cs="Arial"/>
          <w:b/>
          <w:bCs/>
          <w:sz w:val="24"/>
          <w:szCs w:val="24"/>
        </w:rPr>
      </w:pPr>
      <w:r w:rsidRPr="00D12AB4">
        <w:rPr>
          <w:rFonts w:ascii="Arial" w:hAnsi="Arial" w:cs="Arial"/>
          <w:b/>
          <w:bCs/>
          <w:sz w:val="24"/>
          <w:szCs w:val="24"/>
        </w:rPr>
        <w:t>In relation to signatures the FAQs say</w:t>
      </w:r>
      <w:r>
        <w:rPr>
          <w:rFonts w:ascii="Arial" w:hAnsi="Arial" w:cs="Arial"/>
          <w:b/>
          <w:bCs/>
          <w:sz w:val="24"/>
          <w:szCs w:val="24"/>
        </w:rPr>
        <w:t xml:space="preserve"> that the forms</w:t>
      </w:r>
      <w:r w:rsidRPr="00D12AB4">
        <w:rPr>
          <w:rFonts w:ascii="Arial" w:hAnsi="Arial" w:cs="Arial"/>
          <w:b/>
          <w:bCs/>
          <w:sz w:val="24"/>
          <w:szCs w:val="24"/>
        </w:rPr>
        <w:t>:</w:t>
      </w:r>
    </w:p>
    <w:p w14:paraId="26DE3EB2" w14:textId="1C9EC710" w:rsidR="000575C5" w:rsidRDefault="000575C5" w:rsidP="000575C5">
      <w:pPr>
        <w:spacing w:before="100" w:beforeAutospacing="1" w:after="100" w:afterAutospacing="1" w:line="240" w:lineRule="auto"/>
        <w:ind w:left="1440"/>
        <w:jc w:val="both"/>
        <w:rPr>
          <w:rFonts w:ascii="Arial" w:hAnsi="Arial" w:cs="Arial"/>
          <w:sz w:val="24"/>
          <w:szCs w:val="24"/>
        </w:rPr>
      </w:pPr>
      <w:r>
        <w:rPr>
          <w:rFonts w:ascii="Arial" w:hAnsi="Arial" w:cs="Arial"/>
          <w:sz w:val="24"/>
          <w:szCs w:val="24"/>
        </w:rPr>
        <w:t>“</w:t>
      </w:r>
      <w:r w:rsidRPr="006C1EC5">
        <w:rPr>
          <w:rFonts w:ascii="Arial" w:hAnsi="Arial" w:cs="Arial"/>
          <w:i/>
          <w:iCs/>
          <w:sz w:val="24"/>
          <w:szCs w:val="24"/>
        </w:rPr>
        <w:t>must be signed by all persons making this application, or by their legal representative acting</w:t>
      </w:r>
      <w:r>
        <w:rPr>
          <w:rFonts w:ascii="Arial" w:hAnsi="Arial" w:cs="Arial"/>
          <w:i/>
          <w:iCs/>
          <w:sz w:val="24"/>
          <w:szCs w:val="24"/>
        </w:rPr>
        <w:t xml:space="preserve"> for them.</w:t>
      </w:r>
      <w:r>
        <w:rPr>
          <w:rFonts w:ascii="Arial" w:hAnsi="Arial" w:cs="Arial"/>
          <w:sz w:val="24"/>
          <w:szCs w:val="24"/>
        </w:rPr>
        <w:t>”</w:t>
      </w:r>
    </w:p>
    <w:p w14:paraId="3717F919" w14:textId="77777777" w:rsidR="000575C5" w:rsidRDefault="000575C5" w:rsidP="000575C5">
      <w:pPr>
        <w:spacing w:before="100" w:beforeAutospacing="1" w:after="100" w:afterAutospacing="1" w:line="240" w:lineRule="auto"/>
        <w:ind w:left="720"/>
        <w:jc w:val="both"/>
        <w:rPr>
          <w:rFonts w:ascii="Arial" w:hAnsi="Arial" w:cs="Arial"/>
          <w:sz w:val="24"/>
          <w:szCs w:val="24"/>
        </w:rPr>
      </w:pPr>
      <w:r>
        <w:rPr>
          <w:rFonts w:ascii="Arial" w:hAnsi="Arial" w:cs="Arial"/>
          <w:sz w:val="24"/>
          <w:szCs w:val="24"/>
        </w:rPr>
        <w:lastRenderedPageBreak/>
        <w:t xml:space="preserve">The FAQs say that It can be signed with a wet or electronic signature. </w:t>
      </w:r>
    </w:p>
    <w:p w14:paraId="2DBC0408" w14:textId="77777777" w:rsidR="000575C5" w:rsidRDefault="000575C5" w:rsidP="000575C5">
      <w:pPr>
        <w:spacing w:before="100" w:beforeAutospacing="1" w:after="100" w:afterAutospacing="1" w:line="240" w:lineRule="auto"/>
        <w:ind w:left="720"/>
        <w:jc w:val="both"/>
        <w:rPr>
          <w:rFonts w:ascii="Arial" w:hAnsi="Arial" w:cs="Arial"/>
          <w:sz w:val="24"/>
          <w:szCs w:val="24"/>
        </w:rPr>
      </w:pPr>
      <w:r>
        <w:rPr>
          <w:rFonts w:ascii="Arial" w:hAnsi="Arial" w:cs="Arial"/>
          <w:sz w:val="24"/>
          <w:szCs w:val="24"/>
        </w:rPr>
        <w:t>If there are two or more applicants:</w:t>
      </w:r>
    </w:p>
    <w:p w14:paraId="20F3797B" w14:textId="77777777" w:rsidR="000575C5" w:rsidRPr="006C1EC5" w:rsidRDefault="000575C5" w:rsidP="000575C5">
      <w:pPr>
        <w:spacing w:before="100" w:beforeAutospacing="1" w:after="100" w:afterAutospacing="1" w:line="240" w:lineRule="auto"/>
        <w:ind w:left="1440"/>
        <w:jc w:val="both"/>
        <w:rPr>
          <w:rFonts w:ascii="Arial" w:hAnsi="Arial" w:cs="Arial"/>
          <w:sz w:val="24"/>
          <w:szCs w:val="24"/>
        </w:rPr>
      </w:pPr>
      <w:r>
        <w:rPr>
          <w:rFonts w:ascii="Arial" w:hAnsi="Arial" w:cs="Arial"/>
          <w:sz w:val="24"/>
          <w:szCs w:val="24"/>
        </w:rPr>
        <w:t xml:space="preserve"> “</w:t>
      </w:r>
      <w:r w:rsidRPr="006C1EC5">
        <w:rPr>
          <w:rFonts w:ascii="Arial" w:hAnsi="Arial" w:cs="Arial"/>
          <w:i/>
          <w:iCs/>
          <w:sz w:val="24"/>
          <w:szCs w:val="24"/>
        </w:rPr>
        <w:t>you (the professional) can sign on behalf of all these applicants, but they may also opt to sign themselves. If signing for multiple applicants, you must sign in the applicant boxes for however many additional individuals you are acting for. Each signature can be either electronic or wet</w:t>
      </w:r>
      <w:r w:rsidRPr="006C1EC5">
        <w:rPr>
          <w:rFonts w:ascii="Arial" w:hAnsi="Arial" w:cs="Arial"/>
          <w:sz w:val="24"/>
          <w:szCs w:val="24"/>
        </w:rPr>
        <w:t>.</w:t>
      </w:r>
      <w:r>
        <w:rPr>
          <w:rFonts w:ascii="Arial" w:hAnsi="Arial" w:cs="Arial"/>
          <w:sz w:val="24"/>
          <w:szCs w:val="24"/>
        </w:rPr>
        <w:t>”</w:t>
      </w:r>
    </w:p>
    <w:p w14:paraId="3B8078BC" w14:textId="478415AE" w:rsidR="000575C5" w:rsidRPr="002A21C5" w:rsidRDefault="00D12AB4" w:rsidP="000575C5">
      <w:pPr>
        <w:spacing w:before="100" w:beforeAutospacing="1" w:after="100" w:afterAutospacing="1" w:line="240" w:lineRule="auto"/>
        <w:jc w:val="both"/>
        <w:rPr>
          <w:rFonts w:ascii="Arial" w:hAnsi="Arial" w:cs="Arial"/>
          <w:b/>
          <w:bCs/>
          <w:sz w:val="24"/>
          <w:szCs w:val="24"/>
        </w:rPr>
      </w:pPr>
      <w:r>
        <w:rPr>
          <w:rFonts w:ascii="Arial" w:hAnsi="Arial" w:cs="Arial"/>
          <w:b/>
          <w:bCs/>
          <w:sz w:val="24"/>
          <w:szCs w:val="24"/>
        </w:rPr>
        <w:t>3.</w:t>
      </w:r>
      <w:r w:rsidR="000575C5" w:rsidRPr="006C1EC5">
        <w:rPr>
          <w:rFonts w:ascii="Arial" w:hAnsi="Arial" w:cs="Arial"/>
          <w:b/>
          <w:bCs/>
          <w:sz w:val="24"/>
          <w:szCs w:val="24"/>
        </w:rPr>
        <w:tab/>
      </w:r>
      <w:r w:rsidR="000575C5" w:rsidRPr="002A21C5">
        <w:rPr>
          <w:rFonts w:ascii="Arial" w:hAnsi="Arial" w:cs="Arial"/>
          <w:b/>
          <w:bCs/>
          <w:sz w:val="24"/>
          <w:szCs w:val="24"/>
        </w:rPr>
        <w:t>Statements of Truth instead of Affidavits</w:t>
      </w:r>
    </w:p>
    <w:p w14:paraId="4AA4A986" w14:textId="77777777" w:rsidR="000575C5" w:rsidRPr="00507BC8" w:rsidRDefault="000575C5" w:rsidP="000575C5">
      <w:pPr>
        <w:spacing w:before="100" w:beforeAutospacing="1" w:after="100" w:afterAutospacing="1" w:line="240" w:lineRule="auto"/>
        <w:ind w:left="720"/>
        <w:jc w:val="both"/>
        <w:rPr>
          <w:rFonts w:ascii="Arial" w:hAnsi="Arial" w:cs="Arial"/>
          <w:bCs/>
          <w:i/>
          <w:iCs/>
          <w:sz w:val="24"/>
          <w:szCs w:val="24"/>
        </w:rPr>
      </w:pPr>
      <w:r w:rsidRPr="002D139A">
        <w:rPr>
          <w:rFonts w:ascii="Arial" w:hAnsi="Arial" w:cs="Arial"/>
          <w:sz w:val="24"/>
          <w:szCs w:val="24"/>
        </w:rPr>
        <w:t xml:space="preserve"> </w:t>
      </w:r>
      <w:r>
        <w:rPr>
          <w:rFonts w:ascii="Arial" w:hAnsi="Arial" w:cs="Arial"/>
          <w:bCs/>
          <w:sz w:val="24"/>
          <w:szCs w:val="24"/>
        </w:rPr>
        <w:t xml:space="preserve">On 17 April 2020 the President of the Family </w:t>
      </w:r>
      <w:r w:rsidRPr="00507BC8">
        <w:rPr>
          <w:rFonts w:ascii="Arial" w:hAnsi="Arial" w:cs="Arial"/>
          <w:bCs/>
          <w:sz w:val="24"/>
          <w:szCs w:val="24"/>
        </w:rPr>
        <w:t>Division</w:t>
      </w:r>
      <w:r>
        <w:rPr>
          <w:rFonts w:ascii="Arial" w:hAnsi="Arial" w:cs="Arial"/>
          <w:bCs/>
          <w:sz w:val="24"/>
          <w:szCs w:val="24"/>
        </w:rPr>
        <w:t xml:space="preserve"> issued </w:t>
      </w:r>
      <w:r w:rsidRPr="00507BC8">
        <w:rPr>
          <w:rFonts w:ascii="Arial" w:hAnsi="Arial" w:cs="Arial"/>
          <w:bCs/>
          <w:sz w:val="24"/>
          <w:szCs w:val="24"/>
        </w:rPr>
        <w:t>Guidance</w:t>
      </w:r>
      <w:r w:rsidRPr="00507BC8">
        <w:rPr>
          <w:rFonts w:ascii="Arial" w:hAnsi="Arial" w:cs="Arial"/>
          <w:bCs/>
          <w:i/>
          <w:iCs/>
          <w:sz w:val="24"/>
          <w:szCs w:val="24"/>
        </w:rPr>
        <w:t xml:space="preserve"> as to the replacement of affidavits with statements of truth in non-contentious probate processes</w:t>
      </w:r>
      <w:r w:rsidRPr="00507BC8">
        <w:rPr>
          <w:rFonts w:ascii="Arial" w:hAnsi="Arial" w:cs="Arial"/>
          <w:bCs/>
          <w:sz w:val="24"/>
          <w:szCs w:val="24"/>
        </w:rPr>
        <w:t xml:space="preserve"> </w:t>
      </w:r>
      <w:r>
        <w:rPr>
          <w:rFonts w:ascii="Arial" w:hAnsi="Arial" w:cs="Arial"/>
          <w:bCs/>
          <w:sz w:val="24"/>
          <w:szCs w:val="24"/>
        </w:rPr>
        <w:t xml:space="preserve">which said that to </w:t>
      </w:r>
      <w:r w:rsidRPr="00507BC8">
        <w:rPr>
          <w:rFonts w:ascii="Arial" w:hAnsi="Arial" w:cs="Arial"/>
          <w:bCs/>
          <w:i/>
          <w:iCs/>
          <w:sz w:val="24"/>
          <w:szCs w:val="24"/>
        </w:rPr>
        <w:t>“enable non-contentious probate business to continue during the current social conditions imposed for the coronavirus pandemic</w:t>
      </w:r>
      <w:r>
        <w:rPr>
          <w:rFonts w:ascii="Arial" w:hAnsi="Arial" w:cs="Arial"/>
          <w:bCs/>
          <w:i/>
          <w:iCs/>
          <w:sz w:val="24"/>
          <w:szCs w:val="24"/>
        </w:rPr>
        <w:t xml:space="preserve">” </w:t>
      </w:r>
      <w:r>
        <w:rPr>
          <w:rFonts w:ascii="Arial" w:hAnsi="Arial" w:cs="Arial"/>
          <w:bCs/>
          <w:sz w:val="24"/>
          <w:szCs w:val="24"/>
        </w:rPr>
        <w:t xml:space="preserve">he would authorise </w:t>
      </w:r>
      <w:r w:rsidRPr="00507BC8">
        <w:rPr>
          <w:rFonts w:ascii="Arial" w:hAnsi="Arial" w:cs="Arial"/>
          <w:bCs/>
          <w:i/>
          <w:iCs/>
          <w:sz w:val="24"/>
          <w:szCs w:val="24"/>
        </w:rPr>
        <w:t xml:space="preserve"> </w:t>
      </w:r>
      <w:r w:rsidRPr="007A742C">
        <w:rPr>
          <w:rFonts w:ascii="Arial" w:hAnsi="Arial" w:cs="Arial"/>
          <w:bCs/>
          <w:sz w:val="24"/>
          <w:szCs w:val="24"/>
        </w:rPr>
        <w:t>District Probate Registrars to allow statements of truth to be used as an alternative to affidavits</w:t>
      </w:r>
      <w:r w:rsidRPr="00507BC8">
        <w:rPr>
          <w:rFonts w:ascii="Arial" w:hAnsi="Arial" w:cs="Arial"/>
          <w:bCs/>
          <w:i/>
          <w:iCs/>
          <w:sz w:val="24"/>
          <w:szCs w:val="24"/>
        </w:rPr>
        <w:t xml:space="preserve"> </w:t>
      </w:r>
      <w:r w:rsidRPr="007A742C">
        <w:rPr>
          <w:rFonts w:ascii="Arial" w:hAnsi="Arial" w:cs="Arial"/>
          <w:bCs/>
          <w:sz w:val="24"/>
          <w:szCs w:val="24"/>
        </w:rPr>
        <w:t xml:space="preserve">for applications and processes </w:t>
      </w:r>
      <w:r>
        <w:rPr>
          <w:rFonts w:ascii="Arial" w:hAnsi="Arial" w:cs="Arial"/>
          <w:bCs/>
          <w:sz w:val="24"/>
          <w:szCs w:val="24"/>
        </w:rPr>
        <w:t>with</w:t>
      </w:r>
      <w:r w:rsidRPr="007A742C">
        <w:rPr>
          <w:rFonts w:ascii="Arial" w:hAnsi="Arial" w:cs="Arial"/>
          <w:bCs/>
          <w:sz w:val="24"/>
          <w:szCs w:val="24"/>
        </w:rPr>
        <w:t>in the Non-Contentious Probate Rules 1987</w:t>
      </w:r>
      <w:r w:rsidRPr="00507BC8">
        <w:rPr>
          <w:rFonts w:ascii="Arial" w:hAnsi="Arial" w:cs="Arial"/>
          <w:bCs/>
          <w:i/>
          <w:iCs/>
          <w:sz w:val="24"/>
          <w:szCs w:val="24"/>
        </w:rPr>
        <w:t xml:space="preserve"> </w:t>
      </w:r>
      <w:r>
        <w:rPr>
          <w:rFonts w:ascii="Arial" w:hAnsi="Arial" w:cs="Arial"/>
          <w:bCs/>
          <w:i/>
          <w:iCs/>
          <w:sz w:val="24"/>
          <w:szCs w:val="24"/>
        </w:rPr>
        <w:t xml:space="preserve"> </w:t>
      </w:r>
      <w:r w:rsidRPr="007A742C">
        <w:rPr>
          <w:rFonts w:ascii="Arial" w:hAnsi="Arial" w:cs="Arial"/>
          <w:bCs/>
          <w:sz w:val="24"/>
          <w:szCs w:val="24"/>
        </w:rPr>
        <w:t>and that</w:t>
      </w:r>
      <w:r>
        <w:rPr>
          <w:rFonts w:ascii="Arial" w:hAnsi="Arial" w:cs="Arial"/>
          <w:bCs/>
          <w:sz w:val="24"/>
          <w:szCs w:val="24"/>
        </w:rPr>
        <w:t>:</w:t>
      </w:r>
    </w:p>
    <w:p w14:paraId="2A0862BB" w14:textId="77777777" w:rsidR="000575C5" w:rsidRDefault="000575C5" w:rsidP="000575C5">
      <w:pPr>
        <w:spacing w:before="100" w:beforeAutospacing="1" w:after="100" w:afterAutospacing="1" w:line="240" w:lineRule="auto"/>
        <w:ind w:left="1440"/>
        <w:jc w:val="both"/>
        <w:rPr>
          <w:rFonts w:ascii="Arial" w:hAnsi="Arial" w:cs="Arial"/>
          <w:bCs/>
          <w:sz w:val="24"/>
          <w:szCs w:val="24"/>
        </w:rPr>
      </w:pPr>
      <w:r w:rsidRPr="00507BC8">
        <w:rPr>
          <w:rFonts w:ascii="Arial" w:hAnsi="Arial" w:cs="Arial"/>
          <w:bCs/>
          <w:i/>
          <w:iCs/>
          <w:sz w:val="24"/>
          <w:szCs w:val="24"/>
        </w:rPr>
        <w:t>Consideration will be given to making this rule change permanent by Statutory Instrument at a future date</w:t>
      </w:r>
      <w:r w:rsidRPr="00507BC8">
        <w:rPr>
          <w:rFonts w:ascii="Arial" w:hAnsi="Arial" w:cs="Arial"/>
          <w:bCs/>
          <w:sz w:val="24"/>
          <w:szCs w:val="24"/>
        </w:rPr>
        <w:t>.</w:t>
      </w:r>
      <w:r>
        <w:rPr>
          <w:rFonts w:ascii="Arial" w:hAnsi="Arial" w:cs="Arial"/>
          <w:bCs/>
          <w:sz w:val="24"/>
          <w:szCs w:val="24"/>
        </w:rPr>
        <w:t>”</w:t>
      </w:r>
    </w:p>
    <w:p w14:paraId="1EC06CBD" w14:textId="77777777" w:rsidR="000575C5" w:rsidRDefault="000575C5" w:rsidP="000575C5">
      <w:pPr>
        <w:spacing w:before="100" w:beforeAutospacing="1" w:after="100" w:afterAutospacing="1" w:line="240" w:lineRule="auto"/>
        <w:ind w:left="720"/>
        <w:jc w:val="both"/>
        <w:rPr>
          <w:rFonts w:ascii="Arial" w:hAnsi="Arial" w:cs="Arial"/>
          <w:bCs/>
          <w:i/>
          <w:iCs/>
          <w:sz w:val="24"/>
          <w:szCs w:val="24"/>
        </w:rPr>
      </w:pPr>
      <w:r>
        <w:rPr>
          <w:rFonts w:ascii="Arial" w:hAnsi="Arial" w:cs="Arial"/>
          <w:bCs/>
          <w:sz w:val="24"/>
          <w:szCs w:val="24"/>
        </w:rPr>
        <w:t>On 23 July 2020 the period w</w:t>
      </w:r>
      <w:r w:rsidRPr="002A21C5">
        <w:rPr>
          <w:rFonts w:ascii="Arial" w:hAnsi="Arial" w:cs="Arial"/>
          <w:bCs/>
          <w:i/>
          <w:iCs/>
          <w:sz w:val="24"/>
          <w:szCs w:val="24"/>
        </w:rPr>
        <w:t xml:space="preserve">as </w:t>
      </w:r>
      <w:r w:rsidRPr="006B790B">
        <w:rPr>
          <w:rFonts w:ascii="Arial" w:hAnsi="Arial" w:cs="Arial"/>
          <w:bCs/>
          <w:sz w:val="24"/>
          <w:szCs w:val="24"/>
        </w:rPr>
        <w:t>extended to expire on 30 October 2020</w:t>
      </w:r>
      <w:r w:rsidRPr="002A21C5">
        <w:rPr>
          <w:rFonts w:ascii="Arial" w:hAnsi="Arial" w:cs="Arial"/>
          <w:bCs/>
          <w:i/>
          <w:iCs/>
          <w:sz w:val="24"/>
          <w:szCs w:val="24"/>
        </w:rPr>
        <w:t>.</w:t>
      </w:r>
    </w:p>
    <w:p w14:paraId="5718491A" w14:textId="77777777" w:rsidR="000575C5" w:rsidRDefault="000575C5" w:rsidP="000575C5">
      <w:pPr>
        <w:spacing w:before="100" w:beforeAutospacing="1" w:after="100" w:afterAutospacing="1" w:line="240" w:lineRule="auto"/>
        <w:ind w:left="720"/>
        <w:jc w:val="both"/>
        <w:rPr>
          <w:rFonts w:ascii="Arial" w:hAnsi="Arial" w:cs="Arial"/>
          <w:bCs/>
          <w:sz w:val="24"/>
          <w:szCs w:val="24"/>
        </w:rPr>
      </w:pPr>
      <w:r>
        <w:rPr>
          <w:rFonts w:ascii="Arial" w:hAnsi="Arial" w:cs="Arial"/>
          <w:bCs/>
          <w:sz w:val="24"/>
          <w:szCs w:val="24"/>
        </w:rPr>
        <w:t xml:space="preserve">The 2020 Amendment Rules make the change permanent. A new 2A is inserted into the 1987 Rules which says that witness statements must be verified by a statement of truth and that in the following Rules ’or witness statement’ should be added to ‘affidavit’. The effect is that witness statements can be used as an alternative to an affidavit. </w:t>
      </w:r>
      <w:r>
        <w:rPr>
          <w:rFonts w:ascii="Arial" w:hAnsi="Arial" w:cs="Arial"/>
          <w:bCs/>
          <w:sz w:val="24"/>
          <w:szCs w:val="24"/>
        </w:rPr>
        <w:tab/>
      </w:r>
    </w:p>
    <w:p w14:paraId="59B95E5C" w14:textId="77777777" w:rsidR="000575C5" w:rsidRPr="00B54951" w:rsidRDefault="000575C5" w:rsidP="000575C5">
      <w:pPr>
        <w:pStyle w:val="ListParagraph"/>
        <w:numPr>
          <w:ilvl w:val="0"/>
          <w:numId w:val="14"/>
        </w:numPr>
        <w:spacing w:after="0" w:line="240" w:lineRule="auto"/>
        <w:ind w:left="1077" w:hanging="357"/>
        <w:jc w:val="both"/>
        <w:rPr>
          <w:rFonts w:ascii="Arial" w:hAnsi="Arial" w:cs="Arial"/>
          <w:bCs/>
          <w:sz w:val="24"/>
          <w:szCs w:val="24"/>
        </w:rPr>
      </w:pPr>
      <w:r w:rsidRPr="00B54951">
        <w:rPr>
          <w:rFonts w:ascii="Arial" w:hAnsi="Arial" w:cs="Arial"/>
          <w:bCs/>
          <w:sz w:val="24"/>
          <w:szCs w:val="24"/>
        </w:rPr>
        <w:t>rule 10(1)(b) (Exhibition of wills)</w:t>
      </w:r>
    </w:p>
    <w:p w14:paraId="3765C930" w14:textId="77777777" w:rsidR="000575C5" w:rsidRPr="00B54951" w:rsidRDefault="000575C5" w:rsidP="000575C5">
      <w:pPr>
        <w:pStyle w:val="ListParagraph"/>
        <w:numPr>
          <w:ilvl w:val="0"/>
          <w:numId w:val="14"/>
        </w:numPr>
        <w:spacing w:after="0" w:line="240" w:lineRule="auto"/>
        <w:ind w:left="1077" w:hanging="357"/>
        <w:jc w:val="both"/>
        <w:rPr>
          <w:rFonts w:ascii="Arial" w:hAnsi="Arial" w:cs="Arial"/>
          <w:bCs/>
          <w:sz w:val="24"/>
          <w:szCs w:val="24"/>
        </w:rPr>
      </w:pPr>
      <w:r w:rsidRPr="00B54951">
        <w:rPr>
          <w:rFonts w:ascii="Arial" w:hAnsi="Arial" w:cs="Arial"/>
          <w:bCs/>
          <w:sz w:val="24"/>
          <w:szCs w:val="24"/>
        </w:rPr>
        <w:t>rule 12(1) (2)(Evidence as to due execution of will),</w:t>
      </w:r>
    </w:p>
    <w:p w14:paraId="56E40124" w14:textId="77777777" w:rsidR="000575C5" w:rsidRPr="00B54951" w:rsidRDefault="000575C5" w:rsidP="000575C5">
      <w:pPr>
        <w:pStyle w:val="ListParagraph"/>
        <w:numPr>
          <w:ilvl w:val="0"/>
          <w:numId w:val="14"/>
        </w:numPr>
        <w:spacing w:after="0" w:line="240" w:lineRule="auto"/>
        <w:ind w:left="1077" w:hanging="357"/>
        <w:jc w:val="both"/>
        <w:rPr>
          <w:rFonts w:ascii="Arial" w:hAnsi="Arial" w:cs="Arial"/>
          <w:bCs/>
          <w:sz w:val="24"/>
          <w:szCs w:val="24"/>
        </w:rPr>
      </w:pPr>
      <w:r w:rsidRPr="00B54951">
        <w:rPr>
          <w:rFonts w:ascii="Arial" w:hAnsi="Arial" w:cs="Arial"/>
          <w:bCs/>
          <w:sz w:val="24"/>
          <w:szCs w:val="24"/>
        </w:rPr>
        <w:t>rule 25(2) (Joinder of administrator),</w:t>
      </w:r>
    </w:p>
    <w:p w14:paraId="040C9F98" w14:textId="77777777" w:rsidR="000575C5" w:rsidRPr="00B54951" w:rsidRDefault="000575C5" w:rsidP="000575C5">
      <w:pPr>
        <w:pStyle w:val="ListParagraph"/>
        <w:numPr>
          <w:ilvl w:val="0"/>
          <w:numId w:val="14"/>
        </w:numPr>
        <w:spacing w:after="0" w:line="240" w:lineRule="auto"/>
        <w:ind w:left="1077" w:hanging="357"/>
        <w:jc w:val="both"/>
        <w:rPr>
          <w:rFonts w:ascii="Arial" w:hAnsi="Arial" w:cs="Arial"/>
          <w:bCs/>
          <w:sz w:val="24"/>
          <w:szCs w:val="24"/>
        </w:rPr>
      </w:pPr>
      <w:r w:rsidRPr="00B54951">
        <w:rPr>
          <w:rFonts w:ascii="Arial" w:hAnsi="Arial" w:cs="Arial"/>
          <w:bCs/>
          <w:sz w:val="24"/>
          <w:szCs w:val="24"/>
        </w:rPr>
        <w:t>(rule 26(1) (Additional personal representatives),</w:t>
      </w:r>
    </w:p>
    <w:p w14:paraId="735331B4" w14:textId="77777777" w:rsidR="000575C5" w:rsidRPr="00B54951" w:rsidRDefault="000575C5" w:rsidP="000575C5">
      <w:pPr>
        <w:pStyle w:val="ListParagraph"/>
        <w:numPr>
          <w:ilvl w:val="0"/>
          <w:numId w:val="14"/>
        </w:numPr>
        <w:spacing w:after="0" w:line="240" w:lineRule="auto"/>
        <w:ind w:left="1077" w:hanging="357"/>
        <w:jc w:val="both"/>
        <w:rPr>
          <w:rFonts w:ascii="Arial" w:hAnsi="Arial" w:cs="Arial"/>
          <w:bCs/>
          <w:sz w:val="24"/>
          <w:szCs w:val="24"/>
        </w:rPr>
      </w:pPr>
      <w:r w:rsidRPr="00B54951">
        <w:rPr>
          <w:rFonts w:ascii="Arial" w:hAnsi="Arial" w:cs="Arial"/>
          <w:bCs/>
          <w:sz w:val="24"/>
          <w:szCs w:val="24"/>
        </w:rPr>
        <w:t>rule 32(2) (Grants on behalf of minors),</w:t>
      </w:r>
    </w:p>
    <w:p w14:paraId="59A6BC07" w14:textId="77777777" w:rsidR="000575C5" w:rsidRPr="00B54951" w:rsidRDefault="000575C5" w:rsidP="000575C5">
      <w:pPr>
        <w:pStyle w:val="ListParagraph"/>
        <w:numPr>
          <w:ilvl w:val="0"/>
          <w:numId w:val="14"/>
        </w:numPr>
        <w:spacing w:after="0" w:line="240" w:lineRule="auto"/>
        <w:ind w:left="1077" w:hanging="357"/>
        <w:jc w:val="both"/>
        <w:rPr>
          <w:rFonts w:ascii="Arial" w:hAnsi="Arial" w:cs="Arial"/>
          <w:bCs/>
          <w:sz w:val="24"/>
          <w:szCs w:val="24"/>
        </w:rPr>
      </w:pPr>
      <w:r w:rsidRPr="00B54951">
        <w:rPr>
          <w:rFonts w:ascii="Arial" w:hAnsi="Arial" w:cs="Arial"/>
          <w:bCs/>
          <w:sz w:val="24"/>
          <w:szCs w:val="24"/>
        </w:rPr>
        <w:t>rule 44(6), (10), (12) (Caveats),</w:t>
      </w:r>
    </w:p>
    <w:p w14:paraId="6C883946" w14:textId="77777777" w:rsidR="000575C5" w:rsidRPr="00B54951" w:rsidRDefault="000575C5" w:rsidP="000575C5">
      <w:pPr>
        <w:pStyle w:val="ListParagraph"/>
        <w:numPr>
          <w:ilvl w:val="0"/>
          <w:numId w:val="14"/>
        </w:numPr>
        <w:spacing w:before="100" w:beforeAutospacing="1" w:after="100" w:afterAutospacing="1" w:line="240" w:lineRule="auto"/>
        <w:jc w:val="both"/>
        <w:rPr>
          <w:rFonts w:ascii="Arial" w:hAnsi="Arial" w:cs="Arial"/>
          <w:bCs/>
          <w:sz w:val="24"/>
          <w:szCs w:val="24"/>
        </w:rPr>
      </w:pPr>
      <w:r w:rsidRPr="00B54951">
        <w:rPr>
          <w:rFonts w:ascii="Arial" w:hAnsi="Arial" w:cs="Arial"/>
          <w:bCs/>
          <w:sz w:val="24"/>
          <w:szCs w:val="24"/>
        </w:rPr>
        <w:t>rule 46(4) (Citations)</w:t>
      </w:r>
    </w:p>
    <w:p w14:paraId="410A1F60" w14:textId="77777777" w:rsidR="000575C5" w:rsidRPr="00B54951" w:rsidRDefault="000575C5" w:rsidP="000575C5">
      <w:pPr>
        <w:pStyle w:val="ListParagraph"/>
        <w:numPr>
          <w:ilvl w:val="0"/>
          <w:numId w:val="14"/>
        </w:numPr>
        <w:spacing w:before="100" w:beforeAutospacing="1" w:after="100" w:afterAutospacing="1" w:line="240" w:lineRule="auto"/>
        <w:jc w:val="both"/>
        <w:rPr>
          <w:rFonts w:ascii="Arial" w:hAnsi="Arial" w:cs="Arial"/>
          <w:bCs/>
          <w:sz w:val="24"/>
          <w:szCs w:val="24"/>
        </w:rPr>
      </w:pPr>
      <w:r w:rsidRPr="00B54951">
        <w:rPr>
          <w:rFonts w:ascii="Arial" w:hAnsi="Arial" w:cs="Arial"/>
          <w:bCs/>
          <w:sz w:val="24"/>
          <w:szCs w:val="24"/>
        </w:rPr>
        <w:t>rule 47(4), (6) (Citation to accept or refuse to take a grant),</w:t>
      </w:r>
    </w:p>
    <w:p w14:paraId="3C6283E9" w14:textId="77777777" w:rsidR="000575C5" w:rsidRPr="00B54951" w:rsidRDefault="000575C5" w:rsidP="000575C5">
      <w:pPr>
        <w:pStyle w:val="ListParagraph"/>
        <w:numPr>
          <w:ilvl w:val="0"/>
          <w:numId w:val="14"/>
        </w:numPr>
        <w:spacing w:before="100" w:beforeAutospacing="1" w:after="100" w:afterAutospacing="1" w:line="240" w:lineRule="auto"/>
        <w:jc w:val="both"/>
        <w:rPr>
          <w:rFonts w:ascii="Arial" w:hAnsi="Arial" w:cs="Arial"/>
          <w:bCs/>
          <w:sz w:val="24"/>
          <w:szCs w:val="24"/>
        </w:rPr>
      </w:pPr>
      <w:r w:rsidRPr="00B54951">
        <w:rPr>
          <w:rFonts w:ascii="Arial" w:hAnsi="Arial" w:cs="Arial"/>
          <w:bCs/>
          <w:sz w:val="24"/>
          <w:szCs w:val="24"/>
        </w:rPr>
        <w:t>rule 48(2)(a) (Citation to propound a will),</w:t>
      </w:r>
    </w:p>
    <w:p w14:paraId="2A6B59E9" w14:textId="77777777" w:rsidR="000575C5" w:rsidRPr="00B54951" w:rsidRDefault="000575C5" w:rsidP="000575C5">
      <w:pPr>
        <w:pStyle w:val="ListParagraph"/>
        <w:numPr>
          <w:ilvl w:val="0"/>
          <w:numId w:val="14"/>
        </w:numPr>
        <w:spacing w:before="100" w:beforeAutospacing="1" w:after="100" w:afterAutospacing="1" w:line="240" w:lineRule="auto"/>
        <w:jc w:val="both"/>
        <w:rPr>
          <w:rFonts w:ascii="Arial" w:hAnsi="Arial" w:cs="Arial"/>
          <w:bCs/>
          <w:sz w:val="24"/>
          <w:szCs w:val="24"/>
        </w:rPr>
      </w:pPr>
      <w:r w:rsidRPr="00B54951">
        <w:rPr>
          <w:rFonts w:ascii="Arial" w:hAnsi="Arial" w:cs="Arial"/>
          <w:bCs/>
          <w:sz w:val="24"/>
          <w:szCs w:val="24"/>
        </w:rPr>
        <w:t>rule 50(2) (Application for order to attend for examination or for subpoena to bring in a will),</w:t>
      </w:r>
    </w:p>
    <w:p w14:paraId="7365186F" w14:textId="77777777" w:rsidR="000575C5" w:rsidRPr="00B54951" w:rsidRDefault="000575C5" w:rsidP="000575C5">
      <w:pPr>
        <w:pStyle w:val="ListParagraph"/>
        <w:numPr>
          <w:ilvl w:val="0"/>
          <w:numId w:val="14"/>
        </w:numPr>
        <w:spacing w:before="100" w:beforeAutospacing="1" w:after="100" w:afterAutospacing="1" w:line="240" w:lineRule="auto"/>
        <w:jc w:val="both"/>
        <w:rPr>
          <w:rFonts w:ascii="Arial" w:hAnsi="Arial" w:cs="Arial"/>
          <w:bCs/>
          <w:sz w:val="24"/>
          <w:szCs w:val="24"/>
        </w:rPr>
      </w:pPr>
      <w:r w:rsidRPr="00B54951">
        <w:rPr>
          <w:rFonts w:ascii="Arial" w:hAnsi="Arial" w:cs="Arial"/>
          <w:bCs/>
          <w:sz w:val="24"/>
          <w:szCs w:val="24"/>
        </w:rPr>
        <w:t>rule 51 (Grants to part of an estate under section 113 of the Act),</w:t>
      </w:r>
    </w:p>
    <w:p w14:paraId="08673D88" w14:textId="77777777" w:rsidR="000575C5" w:rsidRPr="00B54951" w:rsidRDefault="000575C5" w:rsidP="000575C5">
      <w:pPr>
        <w:pStyle w:val="ListParagraph"/>
        <w:numPr>
          <w:ilvl w:val="0"/>
          <w:numId w:val="14"/>
        </w:numPr>
        <w:spacing w:before="100" w:beforeAutospacing="1" w:after="100" w:afterAutospacing="1" w:line="240" w:lineRule="auto"/>
        <w:jc w:val="both"/>
        <w:rPr>
          <w:rFonts w:ascii="Arial" w:hAnsi="Arial" w:cs="Arial"/>
          <w:bCs/>
          <w:sz w:val="24"/>
          <w:szCs w:val="24"/>
        </w:rPr>
      </w:pPr>
      <w:r w:rsidRPr="00B54951">
        <w:rPr>
          <w:rFonts w:ascii="Arial" w:hAnsi="Arial" w:cs="Arial"/>
          <w:bCs/>
          <w:sz w:val="24"/>
          <w:szCs w:val="24"/>
        </w:rPr>
        <w:t xml:space="preserve">rule 52 (Grants of administration under discretionary powers of court, and grants </w:t>
      </w:r>
      <w:r w:rsidRPr="008D6D41">
        <w:rPr>
          <w:rFonts w:ascii="Arial" w:hAnsi="Arial" w:cs="Arial"/>
          <w:bCs/>
          <w:i/>
          <w:iCs/>
          <w:sz w:val="24"/>
          <w:szCs w:val="24"/>
        </w:rPr>
        <w:t>ad colligenda bona</w:t>
      </w:r>
      <w:r w:rsidRPr="00B54951">
        <w:rPr>
          <w:rFonts w:ascii="Arial" w:hAnsi="Arial" w:cs="Arial"/>
          <w:bCs/>
          <w:sz w:val="24"/>
          <w:szCs w:val="24"/>
        </w:rPr>
        <w:t xml:space="preserve">), </w:t>
      </w:r>
    </w:p>
    <w:p w14:paraId="7BB050C3" w14:textId="77777777" w:rsidR="000575C5" w:rsidRPr="00B54951" w:rsidRDefault="000575C5" w:rsidP="000575C5">
      <w:pPr>
        <w:pStyle w:val="ListParagraph"/>
        <w:numPr>
          <w:ilvl w:val="0"/>
          <w:numId w:val="14"/>
        </w:numPr>
        <w:spacing w:before="100" w:beforeAutospacing="1" w:after="100" w:afterAutospacing="1" w:line="240" w:lineRule="auto"/>
        <w:jc w:val="both"/>
        <w:rPr>
          <w:rFonts w:ascii="Arial" w:hAnsi="Arial" w:cs="Arial"/>
          <w:bCs/>
          <w:sz w:val="24"/>
          <w:szCs w:val="24"/>
        </w:rPr>
      </w:pPr>
      <w:r w:rsidRPr="00B54951">
        <w:rPr>
          <w:rFonts w:ascii="Arial" w:hAnsi="Arial" w:cs="Arial"/>
          <w:bCs/>
          <w:sz w:val="24"/>
          <w:szCs w:val="24"/>
        </w:rPr>
        <w:t>rule 55(2), (3) (Application for rectification of a will).</w:t>
      </w:r>
    </w:p>
    <w:p w14:paraId="179E777B" w14:textId="77777777" w:rsidR="00D12AB4" w:rsidRDefault="00D12AB4" w:rsidP="000575C5">
      <w:pPr>
        <w:spacing w:before="100" w:beforeAutospacing="1" w:after="100" w:afterAutospacing="1" w:line="240" w:lineRule="auto"/>
        <w:jc w:val="both"/>
        <w:rPr>
          <w:rFonts w:ascii="Arial" w:hAnsi="Arial" w:cs="Arial"/>
          <w:b/>
          <w:bCs/>
          <w:sz w:val="24"/>
          <w:szCs w:val="24"/>
        </w:rPr>
      </w:pPr>
    </w:p>
    <w:p w14:paraId="669DC099" w14:textId="77777777" w:rsidR="00D12AB4" w:rsidRDefault="00D12AB4">
      <w:pPr>
        <w:rPr>
          <w:rFonts w:ascii="Arial" w:hAnsi="Arial" w:cs="Arial"/>
          <w:b/>
          <w:bCs/>
          <w:sz w:val="24"/>
          <w:szCs w:val="24"/>
        </w:rPr>
      </w:pPr>
      <w:r>
        <w:rPr>
          <w:rFonts w:ascii="Arial" w:hAnsi="Arial" w:cs="Arial"/>
          <w:b/>
          <w:bCs/>
          <w:sz w:val="24"/>
          <w:szCs w:val="24"/>
        </w:rPr>
        <w:br w:type="page"/>
      </w:r>
    </w:p>
    <w:p w14:paraId="3617382F" w14:textId="23025802" w:rsidR="000575C5" w:rsidRPr="00517984" w:rsidRDefault="00D12AB4" w:rsidP="00D12AB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hAnsi="Arial" w:cs="Arial"/>
          <w:b/>
          <w:bCs/>
          <w:sz w:val="24"/>
          <w:szCs w:val="24"/>
        </w:rPr>
      </w:pPr>
      <w:r>
        <w:rPr>
          <w:rFonts w:ascii="Arial" w:hAnsi="Arial" w:cs="Arial"/>
          <w:b/>
          <w:bCs/>
          <w:sz w:val="24"/>
          <w:szCs w:val="24"/>
        </w:rPr>
        <w:lastRenderedPageBreak/>
        <w:t>III.</w:t>
      </w:r>
      <w:r>
        <w:rPr>
          <w:rFonts w:ascii="Arial" w:hAnsi="Arial" w:cs="Arial"/>
          <w:b/>
          <w:bCs/>
          <w:sz w:val="24"/>
          <w:szCs w:val="24"/>
        </w:rPr>
        <w:tab/>
        <w:t>HMRC CHANGES</w:t>
      </w:r>
    </w:p>
    <w:p w14:paraId="7672CBF9" w14:textId="77777777" w:rsidR="00D12AB4" w:rsidRPr="00D12AB4" w:rsidRDefault="00D12AB4" w:rsidP="00D12AB4">
      <w:pPr>
        <w:spacing w:before="100" w:beforeAutospacing="1" w:after="100" w:afterAutospacing="1" w:line="240" w:lineRule="auto"/>
        <w:jc w:val="both"/>
        <w:rPr>
          <w:rFonts w:ascii="Arial" w:eastAsia="Times New Roman" w:hAnsi="Arial" w:cs="Arial"/>
          <w:b/>
          <w:bCs/>
          <w:color w:val="000000"/>
          <w:sz w:val="24"/>
          <w:szCs w:val="24"/>
          <w:lang w:eastAsia="en-GB"/>
        </w:rPr>
      </w:pPr>
      <w:r w:rsidRPr="00D12AB4">
        <w:rPr>
          <w:rFonts w:ascii="Arial" w:eastAsia="Times New Roman" w:hAnsi="Arial" w:cs="Arial"/>
          <w:b/>
          <w:bCs/>
          <w:color w:val="000000"/>
          <w:sz w:val="24"/>
          <w:szCs w:val="24"/>
          <w:lang w:eastAsia="en-GB"/>
        </w:rPr>
        <w:t>1.</w:t>
      </w:r>
      <w:r w:rsidRPr="00D12AB4">
        <w:rPr>
          <w:rFonts w:ascii="Arial" w:eastAsia="Times New Roman" w:hAnsi="Arial" w:cs="Arial"/>
          <w:b/>
          <w:bCs/>
          <w:color w:val="000000"/>
          <w:sz w:val="24"/>
          <w:szCs w:val="24"/>
          <w:lang w:eastAsia="en-GB"/>
        </w:rPr>
        <w:tab/>
        <w:t>Accelerated payment of CGT</w:t>
      </w:r>
    </w:p>
    <w:p w14:paraId="492F6F02" w14:textId="06E41127" w:rsidR="00D12AB4" w:rsidRPr="00B165A9" w:rsidRDefault="00D12AB4" w:rsidP="00D12AB4">
      <w:pPr>
        <w:spacing w:before="100" w:beforeAutospacing="1" w:after="100" w:afterAutospacing="1"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HMRC guidance is quite thin. However, t</w:t>
      </w:r>
      <w:r w:rsidRPr="00B165A9">
        <w:rPr>
          <w:rFonts w:ascii="Arial" w:eastAsia="Times New Roman" w:hAnsi="Arial" w:cs="Arial"/>
          <w:color w:val="000000"/>
          <w:sz w:val="24"/>
          <w:szCs w:val="24"/>
          <w:lang w:eastAsia="en-GB"/>
        </w:rPr>
        <w:t>he</w:t>
      </w:r>
      <w:r>
        <w:rPr>
          <w:rFonts w:ascii="Arial" w:eastAsia="Times New Roman" w:hAnsi="Arial" w:cs="Arial"/>
          <w:color w:val="000000"/>
          <w:sz w:val="24"/>
          <w:szCs w:val="24"/>
          <w:lang w:eastAsia="en-GB"/>
        </w:rPr>
        <w:t xml:space="preserve"> Institute of Chartered Accountants England and Wales (</w:t>
      </w:r>
      <w:r w:rsidRPr="00B165A9">
        <w:rPr>
          <w:rFonts w:ascii="Arial" w:eastAsia="Times New Roman" w:hAnsi="Arial" w:cs="Arial"/>
          <w:color w:val="000000"/>
          <w:sz w:val="24"/>
          <w:szCs w:val="24"/>
          <w:lang w:eastAsia="en-GB"/>
        </w:rPr>
        <w:t xml:space="preserve"> </w:t>
      </w:r>
      <w:bookmarkStart w:id="3" w:name="_Hlk54690781"/>
      <w:r w:rsidRPr="00B165A9">
        <w:rPr>
          <w:rFonts w:ascii="Arial" w:eastAsia="Times New Roman" w:hAnsi="Arial" w:cs="Arial"/>
          <w:color w:val="000000"/>
          <w:sz w:val="24"/>
          <w:szCs w:val="24"/>
          <w:lang w:eastAsia="en-GB"/>
        </w:rPr>
        <w:t>ICAEW</w:t>
      </w:r>
      <w:r>
        <w:rPr>
          <w:rFonts w:ascii="Arial" w:eastAsia="Times New Roman" w:hAnsi="Arial" w:cs="Arial"/>
          <w:color w:val="000000"/>
          <w:sz w:val="24"/>
          <w:szCs w:val="24"/>
          <w:lang w:eastAsia="en-GB"/>
        </w:rPr>
        <w:t>)</w:t>
      </w:r>
      <w:r w:rsidRPr="00B165A9">
        <w:rPr>
          <w:rFonts w:ascii="Arial" w:eastAsia="Times New Roman" w:hAnsi="Arial" w:cs="Arial"/>
          <w:color w:val="000000"/>
          <w:sz w:val="24"/>
          <w:szCs w:val="24"/>
          <w:lang w:eastAsia="en-GB"/>
        </w:rPr>
        <w:t xml:space="preserve"> published a very helpful guide ‘</w:t>
      </w:r>
      <w:r w:rsidRPr="00B165A9">
        <w:rPr>
          <w:rFonts w:ascii="Arial" w:eastAsia="Times New Roman" w:hAnsi="Arial" w:cs="Arial"/>
          <w:i/>
          <w:iCs/>
          <w:color w:val="000000"/>
          <w:sz w:val="24"/>
          <w:szCs w:val="24"/>
          <w:lang w:eastAsia="en-GB"/>
        </w:rPr>
        <w:t>TAXguide 15/20 Capital gains tax 30-day reporting</w:t>
      </w:r>
      <w:r>
        <w:rPr>
          <w:rFonts w:ascii="Arial" w:eastAsia="Times New Roman" w:hAnsi="Arial" w:cs="Arial"/>
          <w:color w:val="000000"/>
          <w:sz w:val="24"/>
          <w:szCs w:val="24"/>
          <w:lang w:eastAsia="en-GB"/>
        </w:rPr>
        <w:t>’ l</w:t>
      </w:r>
      <w:r w:rsidRPr="00B165A9">
        <w:rPr>
          <w:rFonts w:ascii="Arial" w:eastAsia="Times New Roman" w:hAnsi="Arial" w:cs="Arial"/>
          <w:color w:val="000000"/>
          <w:sz w:val="24"/>
          <w:szCs w:val="24"/>
          <w:lang w:eastAsia="en-GB"/>
        </w:rPr>
        <w:t>ast updated 15 October 2020</w:t>
      </w:r>
      <w:bookmarkEnd w:id="3"/>
      <w:r>
        <w:rPr>
          <w:rFonts w:ascii="Arial" w:eastAsia="Times New Roman" w:hAnsi="Arial" w:cs="Arial"/>
          <w:color w:val="000000"/>
          <w:sz w:val="24"/>
          <w:szCs w:val="24"/>
          <w:lang w:eastAsia="en-GB"/>
        </w:rPr>
        <w:t>. he Association of Tax Technicians published ‘</w:t>
      </w:r>
      <w:r w:rsidRPr="00082667">
        <w:rPr>
          <w:rFonts w:ascii="Arial" w:eastAsia="Times New Roman" w:hAnsi="Arial" w:cs="Arial"/>
          <w:i/>
          <w:iCs/>
          <w:color w:val="000000"/>
          <w:sz w:val="24"/>
          <w:szCs w:val="24"/>
          <w:lang w:eastAsia="en-GB"/>
        </w:rPr>
        <w:t>UK Property Reporting Service - a user's guide</w:t>
      </w:r>
      <w:r>
        <w:rPr>
          <w:rFonts w:ascii="Arial" w:eastAsia="Times New Roman" w:hAnsi="Arial" w:cs="Arial"/>
          <w:color w:val="000000"/>
          <w:sz w:val="24"/>
          <w:szCs w:val="24"/>
          <w:lang w:eastAsia="en-GB"/>
        </w:rPr>
        <w:t>’</w:t>
      </w:r>
      <w:r w:rsidRPr="00082667">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updated 28 September 2020 which is equally helpful. </w:t>
      </w:r>
    </w:p>
    <w:p w14:paraId="3BC26D34" w14:textId="2D080240" w:rsidR="00D12AB4" w:rsidRPr="001E7C6F" w:rsidRDefault="00D12AB4" w:rsidP="00D12AB4">
      <w:pPr>
        <w:spacing w:before="100" w:beforeAutospacing="1" w:after="100" w:afterAutospacing="1" w:line="240" w:lineRule="auto"/>
        <w:jc w:val="both"/>
        <w:rPr>
          <w:rFonts w:ascii="Arial" w:eastAsia="Times New Roman" w:hAnsi="Arial" w:cs="Arial"/>
          <w:b/>
          <w:bCs/>
          <w:color w:val="000000"/>
          <w:sz w:val="24"/>
          <w:szCs w:val="24"/>
          <w:lang w:eastAsia="en-GB"/>
        </w:rPr>
      </w:pPr>
      <w:r w:rsidRPr="001E7C6F">
        <w:rPr>
          <w:rFonts w:ascii="Arial" w:eastAsia="Times New Roman" w:hAnsi="Arial" w:cs="Arial"/>
          <w:b/>
          <w:bCs/>
          <w:color w:val="000000"/>
          <w:sz w:val="24"/>
          <w:szCs w:val="24"/>
          <w:lang w:eastAsia="en-GB"/>
        </w:rPr>
        <w:t>1.</w:t>
      </w:r>
      <w:r>
        <w:rPr>
          <w:rFonts w:ascii="Arial" w:eastAsia="Times New Roman" w:hAnsi="Arial" w:cs="Arial"/>
          <w:b/>
          <w:bCs/>
          <w:color w:val="000000"/>
          <w:sz w:val="24"/>
          <w:szCs w:val="24"/>
          <w:lang w:eastAsia="en-GB"/>
        </w:rPr>
        <w:t>1</w:t>
      </w:r>
      <w:r w:rsidRPr="001E7C6F">
        <w:rPr>
          <w:rFonts w:ascii="Arial" w:eastAsia="Times New Roman" w:hAnsi="Arial" w:cs="Arial"/>
          <w:b/>
          <w:bCs/>
          <w:color w:val="000000"/>
          <w:sz w:val="24"/>
          <w:szCs w:val="24"/>
          <w:lang w:eastAsia="en-GB"/>
        </w:rPr>
        <w:tab/>
        <w:t>FA 2019</w:t>
      </w:r>
    </w:p>
    <w:p w14:paraId="2CE436B0" w14:textId="77777777" w:rsidR="00D12AB4" w:rsidRDefault="00D12AB4" w:rsidP="00D12AB4">
      <w:pPr>
        <w:spacing w:before="100" w:beforeAutospacing="1" w:after="100" w:afterAutospacing="1" w:line="240" w:lineRule="auto"/>
        <w:ind w:left="720"/>
        <w:jc w:val="both"/>
        <w:rPr>
          <w:rFonts w:ascii="Arial" w:eastAsia="Times New Roman" w:hAnsi="Arial" w:cs="Arial"/>
          <w:color w:val="000000"/>
          <w:sz w:val="24"/>
          <w:szCs w:val="24"/>
          <w:lang w:eastAsia="en-GB"/>
        </w:rPr>
      </w:pPr>
      <w:bookmarkStart w:id="4" w:name="_Hlk54782952"/>
      <w:bookmarkStart w:id="5" w:name="_Hlk54690403"/>
      <w:r>
        <w:rPr>
          <w:rFonts w:ascii="Arial" w:eastAsia="Times New Roman" w:hAnsi="Arial" w:cs="Arial"/>
          <w:color w:val="000000"/>
          <w:sz w:val="24"/>
          <w:szCs w:val="24"/>
          <w:lang w:eastAsia="en-GB"/>
        </w:rPr>
        <w:t>FA 2019, s14 and Sched 2 introduced accelerated reporting and payment dates for CGT on UK land disposed of by non-residents starting in tax year 2019/20.</w:t>
      </w:r>
    </w:p>
    <w:p w14:paraId="4A12CCC3" w14:textId="77777777" w:rsidR="00D12AB4" w:rsidRDefault="00D12AB4" w:rsidP="00D12AB4">
      <w:pPr>
        <w:spacing w:before="100" w:beforeAutospacing="1" w:after="100" w:afterAutospacing="1" w:line="240" w:lineRule="auto"/>
        <w:ind w:left="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change applies to all disposals of UK residential land on or after 6 April 2020 </w:t>
      </w:r>
      <w:r w:rsidRPr="00BA2B92">
        <w:rPr>
          <w:rFonts w:ascii="Arial" w:eastAsia="Times New Roman" w:hAnsi="Arial" w:cs="Arial"/>
          <w:b/>
          <w:bCs/>
          <w:i/>
          <w:iCs/>
          <w:color w:val="000000"/>
          <w:sz w:val="24"/>
          <w:szCs w:val="24"/>
          <w:lang w:eastAsia="en-GB"/>
        </w:rPr>
        <w:t>where tax is due</w:t>
      </w:r>
      <w:r>
        <w:rPr>
          <w:rFonts w:ascii="Arial" w:eastAsia="Times New Roman" w:hAnsi="Arial" w:cs="Arial"/>
          <w:color w:val="000000"/>
          <w:sz w:val="24"/>
          <w:szCs w:val="24"/>
          <w:lang w:eastAsia="en-GB"/>
        </w:rPr>
        <w:t>. It appli</w:t>
      </w:r>
      <w:r w:rsidRPr="001E7C6F">
        <w:rPr>
          <w:rFonts w:ascii="Arial" w:eastAsia="Times New Roman" w:hAnsi="Arial" w:cs="Arial"/>
          <w:color w:val="000000"/>
          <w:sz w:val="24"/>
          <w:szCs w:val="24"/>
          <w:lang w:eastAsia="en-GB"/>
        </w:rPr>
        <w:t xml:space="preserve">es </w:t>
      </w:r>
      <w:r>
        <w:rPr>
          <w:rFonts w:ascii="Arial" w:eastAsia="Times New Roman" w:hAnsi="Arial" w:cs="Arial"/>
          <w:color w:val="000000"/>
          <w:sz w:val="24"/>
          <w:szCs w:val="24"/>
          <w:lang w:eastAsia="en-GB"/>
        </w:rPr>
        <w:t>to disposals made</w:t>
      </w:r>
      <w:r w:rsidRPr="001E7C6F">
        <w:rPr>
          <w:rFonts w:ascii="Arial" w:eastAsia="Times New Roman" w:hAnsi="Arial" w:cs="Arial"/>
          <w:color w:val="000000"/>
          <w:sz w:val="24"/>
          <w:szCs w:val="24"/>
          <w:lang w:eastAsia="en-GB"/>
        </w:rPr>
        <w:t xml:space="preserve"> by PRs and trustees</w:t>
      </w:r>
      <w:r>
        <w:rPr>
          <w:rFonts w:ascii="Arial" w:eastAsia="Times New Roman" w:hAnsi="Arial" w:cs="Arial"/>
          <w:color w:val="000000"/>
          <w:sz w:val="24"/>
          <w:szCs w:val="24"/>
          <w:lang w:eastAsia="en-GB"/>
        </w:rPr>
        <w:t xml:space="preserve"> as well as to disposals by individuals</w:t>
      </w:r>
      <w:r w:rsidRPr="001E7C6F">
        <w:rPr>
          <w:rFonts w:ascii="Arial" w:eastAsia="Times New Roman" w:hAnsi="Arial" w:cs="Arial"/>
          <w:color w:val="000000"/>
          <w:sz w:val="24"/>
          <w:szCs w:val="24"/>
          <w:lang w:eastAsia="en-GB"/>
        </w:rPr>
        <w:t>.</w:t>
      </w:r>
      <w:r w:rsidRPr="006C1967">
        <w:rPr>
          <w:rFonts w:ascii="Arial" w:eastAsia="Times New Roman" w:hAnsi="Arial" w:cs="Arial"/>
          <w:color w:val="000000"/>
          <w:sz w:val="24"/>
          <w:szCs w:val="24"/>
          <w:lang w:eastAsia="en-GB"/>
        </w:rPr>
        <w:t xml:space="preserve"> </w:t>
      </w:r>
    </w:p>
    <w:p w14:paraId="4E4631FA" w14:textId="77777777" w:rsidR="00D12AB4" w:rsidRDefault="00D12AB4" w:rsidP="00D12AB4">
      <w:pPr>
        <w:spacing w:before="100" w:beforeAutospacing="1" w:after="100" w:afterAutospacing="1" w:line="240" w:lineRule="auto"/>
        <w:ind w:left="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date of disposal is fixed by reference to the date of unconditional exchange of contracts. The return and payment must be submitted within 30 days of completion of the disposal. </w:t>
      </w:r>
    </w:p>
    <w:bookmarkEnd w:id="4"/>
    <w:p w14:paraId="75F81531" w14:textId="77777777" w:rsidR="00D12AB4" w:rsidRPr="000B4909" w:rsidRDefault="00D12AB4" w:rsidP="00D12AB4">
      <w:pPr>
        <w:spacing w:before="100" w:beforeAutospacing="1" w:after="100" w:afterAutospacing="1" w:line="240" w:lineRule="auto"/>
        <w:ind w:left="1440"/>
        <w:jc w:val="both"/>
        <w:rPr>
          <w:rFonts w:ascii="Arial" w:eastAsia="Times New Roman" w:hAnsi="Arial" w:cs="Arial"/>
          <w:b/>
          <w:bCs/>
          <w:color w:val="000000"/>
          <w:sz w:val="24"/>
          <w:szCs w:val="24"/>
          <w:lang w:eastAsia="en-GB"/>
        </w:rPr>
      </w:pPr>
      <w:r w:rsidRPr="000B4909">
        <w:rPr>
          <w:rFonts w:ascii="Arial" w:eastAsia="Times New Roman" w:hAnsi="Arial" w:cs="Arial"/>
          <w:b/>
          <w:bCs/>
          <w:color w:val="000000"/>
          <w:sz w:val="24"/>
          <w:szCs w:val="24"/>
          <w:lang w:eastAsia="en-GB"/>
        </w:rPr>
        <w:t>Example</w:t>
      </w:r>
    </w:p>
    <w:p w14:paraId="4951DCAE" w14:textId="77777777" w:rsidR="00D12AB4" w:rsidRDefault="00D12AB4" w:rsidP="00D12AB4">
      <w:pPr>
        <w:spacing w:before="100" w:beforeAutospacing="1" w:after="100" w:afterAutospacing="1" w:line="240" w:lineRule="auto"/>
        <w:ind w:left="2160" w:hanging="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r>
        <w:rPr>
          <w:rFonts w:ascii="Arial" w:eastAsia="Times New Roman" w:hAnsi="Arial" w:cs="Arial"/>
          <w:color w:val="000000"/>
          <w:sz w:val="24"/>
          <w:szCs w:val="24"/>
          <w:lang w:eastAsia="en-GB"/>
        </w:rPr>
        <w:tab/>
        <w:t xml:space="preserve">PRs of </w:t>
      </w:r>
      <w:r w:rsidRPr="000B4909">
        <w:rPr>
          <w:rFonts w:ascii="Arial" w:eastAsia="Times New Roman" w:hAnsi="Arial" w:cs="Arial"/>
          <w:color w:val="000000"/>
          <w:sz w:val="24"/>
          <w:szCs w:val="24"/>
          <w:lang w:eastAsia="en-GB"/>
        </w:rPr>
        <w:t xml:space="preserve">Anna exchange contracts for the sale of her </w:t>
      </w:r>
      <w:r>
        <w:rPr>
          <w:rFonts w:ascii="Arial" w:eastAsia="Times New Roman" w:hAnsi="Arial" w:cs="Arial"/>
          <w:color w:val="000000"/>
          <w:sz w:val="24"/>
          <w:szCs w:val="24"/>
          <w:lang w:eastAsia="en-GB"/>
        </w:rPr>
        <w:t>residence</w:t>
      </w:r>
      <w:r w:rsidRPr="000B4909">
        <w:rPr>
          <w:rFonts w:ascii="Arial" w:eastAsia="Times New Roman" w:hAnsi="Arial" w:cs="Arial"/>
          <w:color w:val="000000"/>
          <w:sz w:val="24"/>
          <w:szCs w:val="24"/>
          <w:lang w:eastAsia="en-GB"/>
        </w:rPr>
        <w:t xml:space="preserve"> under an unconditional contract on 1 April 2020</w:t>
      </w:r>
      <w:r>
        <w:rPr>
          <w:rFonts w:ascii="Arial" w:eastAsia="Times New Roman" w:hAnsi="Arial" w:cs="Arial"/>
          <w:color w:val="000000"/>
          <w:sz w:val="24"/>
          <w:szCs w:val="24"/>
          <w:lang w:eastAsia="en-GB"/>
        </w:rPr>
        <w:t xml:space="preserve"> making a chargeable gain of £3,000</w:t>
      </w:r>
      <w:r w:rsidRPr="000B4909">
        <w:rPr>
          <w:rFonts w:ascii="Arial" w:eastAsia="Times New Roman" w:hAnsi="Arial" w:cs="Arial"/>
          <w:color w:val="000000"/>
          <w:sz w:val="24"/>
          <w:szCs w:val="24"/>
          <w:lang w:eastAsia="en-GB"/>
        </w:rPr>
        <w:t xml:space="preserve">. Completion takes place on 15 May 2020. The gain accruing on the disposal </w:t>
      </w:r>
      <w:r>
        <w:rPr>
          <w:rFonts w:ascii="Arial" w:eastAsia="Times New Roman" w:hAnsi="Arial" w:cs="Arial"/>
          <w:color w:val="000000"/>
          <w:sz w:val="24"/>
          <w:szCs w:val="24"/>
          <w:lang w:eastAsia="en-GB"/>
        </w:rPr>
        <w:t>is subject to the old rules and the PRs will deal with the CGT at the end of the administration period if the estate is a simple estate or in the self-assessment return for tax year 2019/20 if it is complex.</w:t>
      </w:r>
    </w:p>
    <w:p w14:paraId="648BDDFE" w14:textId="77777777" w:rsidR="00D12AB4" w:rsidRDefault="00D12AB4" w:rsidP="00D12AB4">
      <w:pPr>
        <w:spacing w:before="100" w:beforeAutospacing="1" w:after="100" w:afterAutospacing="1" w:line="240" w:lineRule="auto"/>
        <w:ind w:left="2160" w:hanging="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r>
        <w:rPr>
          <w:rFonts w:ascii="Arial" w:eastAsia="Times New Roman" w:hAnsi="Arial" w:cs="Arial"/>
          <w:color w:val="000000"/>
          <w:sz w:val="24"/>
          <w:szCs w:val="24"/>
          <w:lang w:eastAsia="en-GB"/>
        </w:rPr>
        <w:tab/>
      </w:r>
      <w:r w:rsidRPr="000B4909">
        <w:rPr>
          <w:rFonts w:ascii="Arial" w:eastAsia="Times New Roman" w:hAnsi="Arial" w:cs="Arial"/>
          <w:color w:val="000000"/>
          <w:sz w:val="24"/>
          <w:szCs w:val="24"/>
          <w:lang w:eastAsia="en-GB"/>
        </w:rPr>
        <w:t xml:space="preserve">If, however, </w:t>
      </w:r>
      <w:r>
        <w:rPr>
          <w:rFonts w:ascii="Arial" w:eastAsia="Times New Roman" w:hAnsi="Arial" w:cs="Arial"/>
          <w:color w:val="000000"/>
          <w:sz w:val="24"/>
          <w:szCs w:val="24"/>
          <w:lang w:eastAsia="en-GB"/>
        </w:rPr>
        <w:t xml:space="preserve">the PRs </w:t>
      </w:r>
      <w:r w:rsidRPr="000B4909">
        <w:rPr>
          <w:rFonts w:ascii="Arial" w:eastAsia="Times New Roman" w:hAnsi="Arial" w:cs="Arial"/>
          <w:color w:val="000000"/>
          <w:sz w:val="24"/>
          <w:szCs w:val="24"/>
          <w:lang w:eastAsia="en-GB"/>
        </w:rPr>
        <w:t xml:space="preserve">exchange </w:t>
      </w:r>
      <w:r>
        <w:rPr>
          <w:rFonts w:ascii="Arial" w:eastAsia="Times New Roman" w:hAnsi="Arial" w:cs="Arial"/>
          <w:color w:val="000000"/>
          <w:sz w:val="24"/>
          <w:szCs w:val="24"/>
          <w:lang w:eastAsia="en-GB"/>
        </w:rPr>
        <w:t xml:space="preserve">unconditional </w:t>
      </w:r>
      <w:r w:rsidRPr="000B4909">
        <w:rPr>
          <w:rFonts w:ascii="Arial" w:eastAsia="Times New Roman" w:hAnsi="Arial" w:cs="Arial"/>
          <w:color w:val="000000"/>
          <w:sz w:val="24"/>
          <w:szCs w:val="24"/>
          <w:lang w:eastAsia="en-GB"/>
        </w:rPr>
        <w:t xml:space="preserve"> contracts </w:t>
      </w:r>
      <w:r>
        <w:rPr>
          <w:rFonts w:ascii="Arial" w:eastAsia="Times New Roman" w:hAnsi="Arial" w:cs="Arial"/>
          <w:color w:val="000000"/>
          <w:sz w:val="24"/>
          <w:szCs w:val="24"/>
          <w:lang w:eastAsia="en-GB"/>
        </w:rPr>
        <w:t>on</w:t>
      </w:r>
      <w:r w:rsidRPr="000B4909">
        <w:rPr>
          <w:rFonts w:ascii="Arial" w:eastAsia="Times New Roman" w:hAnsi="Arial" w:cs="Arial"/>
          <w:color w:val="000000"/>
          <w:sz w:val="24"/>
          <w:szCs w:val="24"/>
          <w:lang w:eastAsia="en-GB"/>
        </w:rPr>
        <w:t xml:space="preserve"> 6 April 2020, </w:t>
      </w:r>
      <w:r>
        <w:rPr>
          <w:rFonts w:ascii="Arial" w:eastAsia="Times New Roman" w:hAnsi="Arial" w:cs="Arial"/>
          <w:color w:val="000000"/>
          <w:sz w:val="24"/>
          <w:szCs w:val="24"/>
          <w:lang w:eastAsia="en-GB"/>
        </w:rPr>
        <w:t>the PRs</w:t>
      </w:r>
      <w:r w:rsidRPr="000B4909">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must</w:t>
      </w:r>
      <w:r w:rsidRPr="000B4909">
        <w:rPr>
          <w:rFonts w:ascii="Arial" w:eastAsia="Times New Roman" w:hAnsi="Arial" w:cs="Arial"/>
          <w:color w:val="000000"/>
          <w:sz w:val="24"/>
          <w:szCs w:val="24"/>
          <w:lang w:eastAsia="en-GB"/>
        </w:rPr>
        <w:t xml:space="preserve"> make a return to HMRC within 30 days of completion </w:t>
      </w:r>
      <w:r>
        <w:rPr>
          <w:rFonts w:ascii="Arial" w:eastAsia="Times New Roman" w:hAnsi="Arial" w:cs="Arial"/>
          <w:color w:val="000000"/>
          <w:sz w:val="24"/>
          <w:szCs w:val="24"/>
          <w:lang w:eastAsia="en-GB"/>
        </w:rPr>
        <w:t>on 15 May 2020</w:t>
      </w:r>
      <w:r w:rsidRPr="000B4909">
        <w:rPr>
          <w:rFonts w:ascii="Arial" w:eastAsia="Times New Roman" w:hAnsi="Arial" w:cs="Arial"/>
          <w:color w:val="000000"/>
          <w:sz w:val="24"/>
          <w:szCs w:val="24"/>
          <w:lang w:eastAsia="en-GB"/>
        </w:rPr>
        <w:t xml:space="preserve"> together with a payment on account within the same 30 days’ timescale.</w:t>
      </w:r>
    </w:p>
    <w:p w14:paraId="64D050DB" w14:textId="77777777" w:rsidR="00D12AB4" w:rsidRDefault="00D12AB4" w:rsidP="00D12AB4">
      <w:pPr>
        <w:spacing w:before="100" w:beforeAutospacing="1" w:after="100" w:afterAutospacing="1" w:line="240" w:lineRule="auto"/>
        <w:ind w:left="720"/>
        <w:jc w:val="both"/>
        <w:rPr>
          <w:rFonts w:ascii="Arial" w:eastAsia="Times New Roman" w:hAnsi="Arial" w:cs="Arial"/>
          <w:color w:val="000000"/>
          <w:sz w:val="24"/>
          <w:szCs w:val="24"/>
          <w:lang w:eastAsia="en-GB"/>
        </w:rPr>
      </w:pPr>
      <w:r w:rsidRPr="00977D9A">
        <w:rPr>
          <w:rFonts w:ascii="Arial" w:eastAsia="Times New Roman" w:hAnsi="Arial" w:cs="Arial"/>
          <w:color w:val="000000"/>
          <w:sz w:val="24"/>
          <w:szCs w:val="24"/>
          <w:lang w:eastAsia="en-GB"/>
        </w:rPr>
        <w:t>No returns are required for disposals where no tax is due</w:t>
      </w:r>
      <w:r>
        <w:rPr>
          <w:rFonts w:ascii="Arial" w:eastAsia="Times New Roman" w:hAnsi="Arial" w:cs="Arial"/>
          <w:color w:val="000000"/>
          <w:sz w:val="24"/>
          <w:szCs w:val="24"/>
          <w:lang w:eastAsia="en-GB"/>
        </w:rPr>
        <w:t xml:space="preserve">, for example because the gain is </w:t>
      </w:r>
    </w:p>
    <w:p w14:paraId="26BADDDE" w14:textId="77777777" w:rsidR="00D12AB4" w:rsidRPr="007F1FE8" w:rsidRDefault="00D12AB4" w:rsidP="00D12AB4">
      <w:pPr>
        <w:pStyle w:val="ListParagraph"/>
        <w:numPr>
          <w:ilvl w:val="0"/>
          <w:numId w:val="12"/>
        </w:numPr>
        <w:spacing w:before="100" w:beforeAutospacing="1" w:after="100" w:afterAutospacing="1" w:line="240" w:lineRule="auto"/>
        <w:jc w:val="both"/>
        <w:rPr>
          <w:rFonts w:ascii="Arial" w:eastAsia="Times New Roman" w:hAnsi="Arial" w:cs="Arial"/>
          <w:color w:val="000000"/>
          <w:sz w:val="24"/>
          <w:szCs w:val="24"/>
          <w:lang w:eastAsia="en-GB"/>
        </w:rPr>
      </w:pPr>
      <w:r w:rsidRPr="007F1FE8">
        <w:rPr>
          <w:rFonts w:ascii="Arial" w:eastAsia="Times New Roman" w:hAnsi="Arial" w:cs="Arial"/>
          <w:color w:val="000000"/>
          <w:sz w:val="24"/>
          <w:szCs w:val="24"/>
          <w:lang w:eastAsia="en-GB"/>
        </w:rPr>
        <w:t xml:space="preserve">within the annual exemption, </w:t>
      </w:r>
    </w:p>
    <w:p w14:paraId="69DE4E3C" w14:textId="77777777" w:rsidR="00D12AB4" w:rsidRPr="007F1FE8" w:rsidRDefault="00D12AB4" w:rsidP="00D12AB4">
      <w:pPr>
        <w:pStyle w:val="ListParagraph"/>
        <w:numPr>
          <w:ilvl w:val="0"/>
          <w:numId w:val="12"/>
        </w:numPr>
        <w:spacing w:before="100" w:beforeAutospacing="1" w:after="100" w:afterAutospacing="1" w:line="240" w:lineRule="auto"/>
        <w:jc w:val="both"/>
        <w:rPr>
          <w:rFonts w:ascii="Arial" w:eastAsia="Times New Roman" w:hAnsi="Arial" w:cs="Arial"/>
          <w:color w:val="000000"/>
          <w:sz w:val="24"/>
          <w:szCs w:val="24"/>
          <w:lang w:eastAsia="en-GB"/>
        </w:rPr>
      </w:pPr>
      <w:r w:rsidRPr="007F1FE8">
        <w:rPr>
          <w:rFonts w:ascii="Arial" w:eastAsia="Times New Roman" w:hAnsi="Arial" w:cs="Arial"/>
          <w:color w:val="000000"/>
          <w:sz w:val="24"/>
          <w:szCs w:val="24"/>
          <w:lang w:eastAsia="en-GB"/>
        </w:rPr>
        <w:t xml:space="preserve">covered by existing losses or </w:t>
      </w:r>
    </w:p>
    <w:p w14:paraId="106C43AB" w14:textId="77777777" w:rsidR="00D12AB4" w:rsidRPr="007F1FE8" w:rsidRDefault="00D12AB4" w:rsidP="00D12AB4">
      <w:pPr>
        <w:pStyle w:val="ListParagraph"/>
        <w:numPr>
          <w:ilvl w:val="0"/>
          <w:numId w:val="12"/>
        </w:numPr>
        <w:spacing w:before="100" w:beforeAutospacing="1" w:after="100" w:afterAutospacing="1" w:line="240" w:lineRule="auto"/>
        <w:jc w:val="both"/>
        <w:rPr>
          <w:rFonts w:ascii="Arial" w:eastAsia="Times New Roman" w:hAnsi="Arial" w:cs="Arial"/>
          <w:color w:val="000000"/>
          <w:sz w:val="24"/>
          <w:szCs w:val="24"/>
          <w:lang w:eastAsia="en-GB"/>
        </w:rPr>
      </w:pPr>
      <w:r w:rsidRPr="007F1FE8">
        <w:rPr>
          <w:rFonts w:ascii="Arial" w:eastAsia="Times New Roman" w:hAnsi="Arial" w:cs="Arial"/>
          <w:color w:val="000000"/>
          <w:sz w:val="24"/>
          <w:szCs w:val="24"/>
          <w:lang w:eastAsia="en-GB"/>
        </w:rPr>
        <w:t>to a spouse or civil partner (no gain/no loss disposal)</w:t>
      </w:r>
    </w:p>
    <w:p w14:paraId="246CB1DE" w14:textId="77777777" w:rsidR="00D12AB4" w:rsidRPr="005F48AF" w:rsidRDefault="00D12AB4" w:rsidP="00D12AB4">
      <w:pPr>
        <w:ind w:left="720"/>
        <w:jc w:val="both"/>
        <w:rPr>
          <w:rFonts w:ascii="Arial" w:eastAsia="Times New Roman" w:hAnsi="Arial" w:cs="Arial"/>
          <w:color w:val="000000"/>
          <w:sz w:val="24"/>
          <w:szCs w:val="24"/>
          <w:lang w:eastAsia="en-GB"/>
        </w:rPr>
      </w:pPr>
      <w:r w:rsidRPr="005F48AF">
        <w:rPr>
          <w:rFonts w:ascii="Arial" w:eastAsia="Times New Roman" w:hAnsi="Arial" w:cs="Arial"/>
          <w:color w:val="000000"/>
          <w:sz w:val="24"/>
          <w:szCs w:val="24"/>
          <w:lang w:eastAsia="en-GB"/>
        </w:rPr>
        <w:t xml:space="preserve">The calculation of tax is </w:t>
      </w:r>
      <w:r>
        <w:rPr>
          <w:rFonts w:ascii="Arial" w:eastAsia="Times New Roman" w:hAnsi="Arial" w:cs="Arial"/>
          <w:color w:val="000000"/>
          <w:sz w:val="24"/>
          <w:szCs w:val="24"/>
          <w:lang w:eastAsia="en-GB"/>
        </w:rPr>
        <w:t>made on the basis of events so far in the tax year with an approximation of the level of income expected during the year. The payment made is on account of the tax due at the end of the year. However, it is not necessary to submit a self-assessment tax if the tax paid was correct and there is no further need for a return.</w:t>
      </w:r>
      <w:r w:rsidRPr="005F48AF">
        <w:rPr>
          <w:rFonts w:ascii="Arial" w:eastAsia="Times New Roman" w:hAnsi="Arial" w:cs="Arial"/>
          <w:color w:val="000000"/>
          <w:sz w:val="24"/>
          <w:szCs w:val="24"/>
          <w:lang w:eastAsia="en-GB"/>
        </w:rPr>
        <w:t xml:space="preserve"> </w:t>
      </w:r>
    </w:p>
    <w:p w14:paraId="36EE9366" w14:textId="255CD7CC" w:rsidR="00D12AB4" w:rsidRDefault="00D12AB4" w:rsidP="00D12AB4">
      <w:pPr>
        <w:jc w:val="both"/>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lastRenderedPageBreak/>
        <w:t>1</w:t>
      </w:r>
      <w:r w:rsidRPr="001E7C6F">
        <w:rPr>
          <w:rFonts w:ascii="Arial" w:eastAsia="Times New Roman" w:hAnsi="Arial" w:cs="Arial"/>
          <w:b/>
          <w:bCs/>
          <w:color w:val="000000"/>
          <w:sz w:val="24"/>
          <w:szCs w:val="24"/>
          <w:lang w:eastAsia="en-GB"/>
        </w:rPr>
        <w:t xml:space="preserve">.2 </w:t>
      </w:r>
      <w:r w:rsidRPr="001E7C6F">
        <w:rPr>
          <w:rFonts w:ascii="Arial" w:eastAsia="Times New Roman" w:hAnsi="Arial" w:cs="Arial"/>
          <w:b/>
          <w:bCs/>
          <w:color w:val="000000"/>
          <w:sz w:val="24"/>
          <w:szCs w:val="24"/>
          <w:lang w:eastAsia="en-GB"/>
        </w:rPr>
        <w:tab/>
      </w:r>
      <w:r>
        <w:rPr>
          <w:rFonts w:ascii="Arial" w:eastAsia="Times New Roman" w:hAnsi="Arial" w:cs="Arial"/>
          <w:b/>
          <w:bCs/>
          <w:color w:val="000000"/>
          <w:sz w:val="24"/>
          <w:szCs w:val="24"/>
          <w:lang w:eastAsia="en-GB"/>
        </w:rPr>
        <w:t>Procedure</w:t>
      </w:r>
    </w:p>
    <w:p w14:paraId="79997C67" w14:textId="77777777" w:rsidR="00D12AB4" w:rsidRPr="00B165A9" w:rsidRDefault="00D12AB4" w:rsidP="00D12AB4">
      <w:pPr>
        <w:ind w:left="720"/>
        <w:jc w:val="both"/>
        <w:rPr>
          <w:rFonts w:ascii="Arial" w:eastAsia="Times New Roman" w:hAnsi="Arial" w:cs="Arial"/>
          <w:color w:val="000000"/>
          <w:sz w:val="24"/>
          <w:szCs w:val="24"/>
          <w:lang w:eastAsia="en-GB"/>
        </w:rPr>
      </w:pPr>
      <w:r w:rsidRPr="00B165A9">
        <w:rPr>
          <w:rFonts w:ascii="Arial" w:eastAsia="Times New Roman" w:hAnsi="Arial" w:cs="Arial"/>
          <w:color w:val="000000"/>
          <w:sz w:val="24"/>
          <w:szCs w:val="24"/>
          <w:lang w:eastAsia="en-GB"/>
        </w:rPr>
        <w:t xml:space="preserve">The report must be made online following the </w:t>
      </w:r>
      <w:r>
        <w:rPr>
          <w:rFonts w:ascii="Arial" w:eastAsia="Times New Roman" w:hAnsi="Arial" w:cs="Arial"/>
          <w:color w:val="000000"/>
          <w:sz w:val="24"/>
          <w:szCs w:val="24"/>
          <w:lang w:eastAsia="en-GB"/>
        </w:rPr>
        <w:t xml:space="preserve">Gov.UK </w:t>
      </w:r>
      <w:r w:rsidRPr="00B165A9">
        <w:rPr>
          <w:rFonts w:ascii="Arial" w:eastAsia="Times New Roman" w:hAnsi="Arial" w:cs="Arial"/>
          <w:color w:val="000000"/>
          <w:sz w:val="24"/>
          <w:szCs w:val="24"/>
          <w:lang w:eastAsia="en-GB"/>
        </w:rPr>
        <w:t xml:space="preserve">guidance on </w:t>
      </w:r>
      <w:r w:rsidRPr="00B165A9">
        <w:rPr>
          <w:rFonts w:ascii="Arial" w:eastAsia="Times New Roman" w:hAnsi="Arial" w:cs="Arial"/>
          <w:i/>
          <w:iCs/>
          <w:color w:val="000000"/>
          <w:sz w:val="24"/>
          <w:szCs w:val="24"/>
          <w:lang w:eastAsia="en-GB"/>
        </w:rPr>
        <w:t>Report and pay Capital Gains Tax on UK property</w:t>
      </w:r>
      <w:r w:rsidRPr="00B165A9">
        <w:rPr>
          <w:rFonts w:ascii="Arial" w:eastAsia="Times New Roman" w:hAnsi="Arial" w:cs="Arial"/>
          <w:color w:val="000000"/>
          <w:sz w:val="24"/>
          <w:szCs w:val="24"/>
          <w:lang w:eastAsia="en-GB"/>
        </w:rPr>
        <w:t xml:space="preserve">. </w:t>
      </w:r>
    </w:p>
    <w:p w14:paraId="10467F25" w14:textId="77777777" w:rsidR="00D12AB4" w:rsidRPr="00B165A9" w:rsidRDefault="00D12AB4" w:rsidP="00D12AB4">
      <w:pPr>
        <w:ind w:left="720"/>
        <w:jc w:val="both"/>
        <w:rPr>
          <w:rFonts w:ascii="Arial" w:eastAsia="Times New Roman" w:hAnsi="Arial" w:cs="Arial"/>
          <w:color w:val="000000"/>
          <w:sz w:val="24"/>
          <w:szCs w:val="24"/>
          <w:lang w:eastAsia="en-GB"/>
        </w:rPr>
      </w:pPr>
      <w:r w:rsidRPr="00B165A9">
        <w:rPr>
          <w:rFonts w:ascii="Arial" w:eastAsia="Times New Roman" w:hAnsi="Arial" w:cs="Arial"/>
          <w:color w:val="000000"/>
          <w:sz w:val="24"/>
          <w:szCs w:val="24"/>
          <w:lang w:eastAsia="en-GB"/>
        </w:rPr>
        <w:t xml:space="preserve">The </w:t>
      </w:r>
      <w:r>
        <w:rPr>
          <w:rFonts w:ascii="Arial" w:eastAsia="Times New Roman" w:hAnsi="Arial" w:cs="Arial"/>
          <w:color w:val="000000"/>
          <w:sz w:val="24"/>
          <w:szCs w:val="24"/>
          <w:lang w:eastAsia="en-GB"/>
        </w:rPr>
        <w:t>online process</w:t>
      </w:r>
      <w:r w:rsidRPr="00B165A9">
        <w:rPr>
          <w:rFonts w:ascii="Arial" w:eastAsia="Times New Roman" w:hAnsi="Arial" w:cs="Arial"/>
          <w:color w:val="000000"/>
          <w:sz w:val="24"/>
          <w:szCs w:val="24"/>
          <w:lang w:eastAsia="en-GB"/>
        </w:rPr>
        <w:t xml:space="preserve"> is completely stand</w:t>
      </w:r>
      <w:r>
        <w:rPr>
          <w:rFonts w:ascii="Arial" w:eastAsia="Times New Roman" w:hAnsi="Arial" w:cs="Arial"/>
          <w:color w:val="000000"/>
          <w:sz w:val="24"/>
          <w:szCs w:val="24"/>
          <w:lang w:eastAsia="en-GB"/>
        </w:rPr>
        <w:t xml:space="preserve"> </w:t>
      </w:r>
      <w:r w:rsidRPr="00B165A9">
        <w:rPr>
          <w:rFonts w:ascii="Arial" w:eastAsia="Times New Roman" w:hAnsi="Arial" w:cs="Arial"/>
          <w:color w:val="000000"/>
          <w:sz w:val="24"/>
          <w:szCs w:val="24"/>
          <w:lang w:eastAsia="en-GB"/>
        </w:rPr>
        <w:t>alone and does not use self</w:t>
      </w:r>
      <w:r>
        <w:rPr>
          <w:rFonts w:ascii="Arial" w:eastAsia="Times New Roman" w:hAnsi="Arial" w:cs="Arial"/>
          <w:color w:val="000000"/>
          <w:sz w:val="24"/>
          <w:szCs w:val="24"/>
          <w:lang w:eastAsia="en-GB"/>
        </w:rPr>
        <w:t>-</w:t>
      </w:r>
      <w:r w:rsidRPr="00B165A9">
        <w:rPr>
          <w:rFonts w:ascii="Arial" w:eastAsia="Times New Roman" w:hAnsi="Arial" w:cs="Arial"/>
          <w:color w:val="000000"/>
          <w:sz w:val="24"/>
          <w:szCs w:val="24"/>
          <w:lang w:eastAsia="en-GB"/>
        </w:rPr>
        <w:t xml:space="preserve">assessment </w:t>
      </w:r>
      <w:r>
        <w:rPr>
          <w:rFonts w:ascii="Arial" w:eastAsia="Times New Roman" w:hAnsi="Arial" w:cs="Arial"/>
          <w:color w:val="000000"/>
          <w:sz w:val="24"/>
          <w:szCs w:val="24"/>
          <w:lang w:eastAsia="en-GB"/>
        </w:rPr>
        <w:t>return</w:t>
      </w:r>
      <w:r w:rsidRPr="00B165A9">
        <w:rPr>
          <w:rFonts w:ascii="Arial" w:eastAsia="Times New Roman" w:hAnsi="Arial" w:cs="Arial"/>
          <w:color w:val="000000"/>
          <w:sz w:val="24"/>
          <w:szCs w:val="24"/>
          <w:lang w:eastAsia="en-GB"/>
        </w:rPr>
        <w:t>s or references. Existing agent authority is not recognised for the service.</w:t>
      </w:r>
    </w:p>
    <w:p w14:paraId="7B886E80" w14:textId="77777777" w:rsidR="00D12AB4" w:rsidRPr="00B165A9" w:rsidRDefault="00D12AB4" w:rsidP="00D12AB4">
      <w:pPr>
        <w:ind w:left="720"/>
        <w:jc w:val="both"/>
        <w:rPr>
          <w:rFonts w:ascii="Arial" w:eastAsia="Times New Roman" w:hAnsi="Arial" w:cs="Arial"/>
          <w:color w:val="000000"/>
          <w:sz w:val="24"/>
          <w:szCs w:val="24"/>
          <w:lang w:eastAsia="en-GB"/>
        </w:rPr>
      </w:pPr>
      <w:bookmarkStart w:id="6" w:name="_Hlk54691815"/>
      <w:r w:rsidRPr="00B165A9">
        <w:rPr>
          <w:rFonts w:ascii="Arial" w:eastAsia="Times New Roman" w:hAnsi="Arial" w:cs="Arial"/>
          <w:color w:val="000000"/>
          <w:sz w:val="24"/>
          <w:szCs w:val="24"/>
          <w:lang w:eastAsia="en-GB"/>
        </w:rPr>
        <w:t xml:space="preserve">The taxpayer needs to set up a CGT UK </w:t>
      </w:r>
      <w:r>
        <w:rPr>
          <w:rFonts w:ascii="Arial" w:eastAsia="Times New Roman" w:hAnsi="Arial" w:cs="Arial"/>
          <w:color w:val="000000"/>
          <w:sz w:val="24"/>
          <w:szCs w:val="24"/>
          <w:lang w:eastAsia="en-GB"/>
        </w:rPr>
        <w:t>P</w:t>
      </w:r>
      <w:r w:rsidRPr="00B165A9">
        <w:rPr>
          <w:rFonts w:ascii="Arial" w:eastAsia="Times New Roman" w:hAnsi="Arial" w:cs="Arial"/>
          <w:color w:val="000000"/>
          <w:sz w:val="24"/>
          <w:szCs w:val="24"/>
          <w:lang w:eastAsia="en-GB"/>
        </w:rPr>
        <w:t xml:space="preserve">roperty </w:t>
      </w:r>
      <w:r>
        <w:rPr>
          <w:rFonts w:ascii="Arial" w:eastAsia="Times New Roman" w:hAnsi="Arial" w:cs="Arial"/>
          <w:color w:val="000000"/>
          <w:sz w:val="24"/>
          <w:szCs w:val="24"/>
          <w:lang w:eastAsia="en-GB"/>
        </w:rPr>
        <w:t>A</w:t>
      </w:r>
      <w:r w:rsidRPr="00B165A9">
        <w:rPr>
          <w:rFonts w:ascii="Arial" w:eastAsia="Times New Roman" w:hAnsi="Arial" w:cs="Arial"/>
          <w:color w:val="000000"/>
          <w:sz w:val="24"/>
          <w:szCs w:val="24"/>
          <w:lang w:eastAsia="en-GB"/>
        </w:rPr>
        <w:t xml:space="preserve">ccount regardless of whether they are reporting the gain themselves or whether they are appointing an agent to report the gain. They </w:t>
      </w:r>
      <w:r>
        <w:rPr>
          <w:rFonts w:ascii="Arial" w:eastAsia="Times New Roman" w:hAnsi="Arial" w:cs="Arial"/>
          <w:color w:val="000000"/>
          <w:sz w:val="24"/>
          <w:szCs w:val="24"/>
          <w:lang w:eastAsia="en-GB"/>
        </w:rPr>
        <w:t xml:space="preserve">do so from the </w:t>
      </w:r>
      <w:r w:rsidRPr="008A69CC">
        <w:rPr>
          <w:rFonts w:ascii="Arial" w:eastAsia="Times New Roman" w:hAnsi="Arial" w:cs="Arial"/>
          <w:color w:val="000000"/>
          <w:sz w:val="24"/>
          <w:szCs w:val="24"/>
          <w:lang w:eastAsia="en-GB"/>
        </w:rPr>
        <w:t xml:space="preserve">green ‘Start’ button </w:t>
      </w:r>
      <w:r>
        <w:rPr>
          <w:rFonts w:ascii="Arial" w:eastAsia="Times New Roman" w:hAnsi="Arial" w:cs="Arial"/>
          <w:color w:val="000000"/>
          <w:sz w:val="24"/>
          <w:szCs w:val="24"/>
          <w:lang w:eastAsia="en-GB"/>
        </w:rPr>
        <w:t>on</w:t>
      </w:r>
      <w:r w:rsidRPr="008A69CC">
        <w:rPr>
          <w:rFonts w:ascii="Arial" w:eastAsia="Times New Roman" w:hAnsi="Arial" w:cs="Arial"/>
          <w:color w:val="000000"/>
          <w:sz w:val="24"/>
          <w:szCs w:val="24"/>
          <w:lang w:eastAsia="en-GB"/>
        </w:rPr>
        <w:t xml:space="preserve"> the</w:t>
      </w:r>
      <w:r>
        <w:rPr>
          <w:rFonts w:ascii="Arial" w:eastAsia="Times New Roman" w:hAnsi="Arial" w:cs="Arial"/>
          <w:color w:val="000000"/>
          <w:sz w:val="24"/>
          <w:szCs w:val="24"/>
          <w:lang w:eastAsia="en-GB"/>
        </w:rPr>
        <w:t xml:space="preserve"> Gov UK </w:t>
      </w:r>
      <w:r w:rsidRPr="008A69CC">
        <w:rPr>
          <w:rFonts w:ascii="Arial" w:eastAsia="Times New Roman" w:hAnsi="Arial" w:cs="Arial"/>
          <w:color w:val="000000"/>
          <w:sz w:val="24"/>
          <w:szCs w:val="24"/>
          <w:lang w:eastAsia="en-GB"/>
        </w:rPr>
        <w:t xml:space="preserve"> </w:t>
      </w:r>
      <w:r w:rsidRPr="008A69CC">
        <w:rPr>
          <w:rFonts w:ascii="Arial" w:eastAsia="Times New Roman" w:hAnsi="Arial" w:cs="Arial"/>
          <w:i/>
          <w:iCs/>
          <w:color w:val="000000"/>
          <w:sz w:val="24"/>
          <w:szCs w:val="24"/>
          <w:lang w:eastAsia="en-GB"/>
        </w:rPr>
        <w:t>Report and pay Capital Gains Tax on UK</w:t>
      </w:r>
      <w:r w:rsidRPr="008A69CC">
        <w:rPr>
          <w:rFonts w:ascii="Arial" w:eastAsia="Times New Roman" w:hAnsi="Arial" w:cs="Arial"/>
          <w:color w:val="000000"/>
          <w:sz w:val="24"/>
          <w:szCs w:val="24"/>
          <w:lang w:eastAsia="en-GB"/>
        </w:rPr>
        <w:t xml:space="preserve"> </w:t>
      </w:r>
      <w:r w:rsidRPr="008A69CC">
        <w:rPr>
          <w:rFonts w:ascii="Arial" w:eastAsia="Times New Roman" w:hAnsi="Arial" w:cs="Arial"/>
          <w:i/>
          <w:iCs/>
          <w:color w:val="000000"/>
          <w:sz w:val="24"/>
          <w:szCs w:val="24"/>
          <w:lang w:eastAsia="en-GB"/>
        </w:rPr>
        <w:t>propert</w:t>
      </w:r>
      <w:r w:rsidRPr="008A69CC">
        <w:rPr>
          <w:rFonts w:ascii="Arial" w:eastAsia="Times New Roman" w:hAnsi="Arial" w:cs="Arial"/>
          <w:color w:val="000000"/>
          <w:sz w:val="24"/>
          <w:szCs w:val="24"/>
          <w:lang w:eastAsia="en-GB"/>
        </w:rPr>
        <w:t>y page</w:t>
      </w:r>
      <w:r>
        <w:rPr>
          <w:rFonts w:ascii="Arial" w:eastAsia="Times New Roman" w:hAnsi="Arial" w:cs="Arial"/>
          <w:color w:val="000000"/>
          <w:sz w:val="24"/>
          <w:szCs w:val="24"/>
          <w:lang w:eastAsia="en-GB"/>
        </w:rPr>
        <w:t xml:space="preserve">. </w:t>
      </w:r>
      <w:r w:rsidRPr="008A69CC">
        <w:rPr>
          <w:rFonts w:ascii="Arial" w:eastAsia="Times New Roman" w:hAnsi="Arial" w:cs="Arial"/>
          <w:color w:val="000000"/>
          <w:sz w:val="24"/>
          <w:szCs w:val="24"/>
          <w:lang w:eastAsia="en-GB"/>
        </w:rPr>
        <w:t xml:space="preserve"> </w:t>
      </w:r>
      <w:r w:rsidRPr="00BA2B92">
        <w:rPr>
          <w:rFonts w:ascii="Arial" w:eastAsia="Times New Roman" w:hAnsi="Arial" w:cs="Arial"/>
          <w:color w:val="000000"/>
          <w:sz w:val="24"/>
          <w:szCs w:val="24"/>
          <w:lang w:eastAsia="en-GB"/>
        </w:rPr>
        <w:t>If the</w:t>
      </w:r>
      <w:r>
        <w:rPr>
          <w:rFonts w:ascii="Arial" w:eastAsia="Times New Roman" w:hAnsi="Arial" w:cs="Arial"/>
          <w:color w:val="000000"/>
          <w:sz w:val="24"/>
          <w:szCs w:val="24"/>
          <w:lang w:eastAsia="en-GB"/>
        </w:rPr>
        <w:t>y</w:t>
      </w:r>
      <w:r w:rsidRPr="00BA2B92">
        <w:rPr>
          <w:rFonts w:ascii="Arial" w:eastAsia="Times New Roman" w:hAnsi="Arial" w:cs="Arial"/>
          <w:color w:val="000000"/>
          <w:sz w:val="24"/>
          <w:szCs w:val="24"/>
          <w:lang w:eastAsia="en-GB"/>
        </w:rPr>
        <w:t xml:space="preserve"> already ha</w:t>
      </w:r>
      <w:r>
        <w:rPr>
          <w:rFonts w:ascii="Arial" w:eastAsia="Times New Roman" w:hAnsi="Arial" w:cs="Arial"/>
          <w:color w:val="000000"/>
          <w:sz w:val="24"/>
          <w:szCs w:val="24"/>
          <w:lang w:eastAsia="en-GB"/>
        </w:rPr>
        <w:t>ve</w:t>
      </w:r>
      <w:r w:rsidRPr="00BA2B92">
        <w:rPr>
          <w:rFonts w:ascii="Arial" w:eastAsia="Times New Roman" w:hAnsi="Arial" w:cs="Arial"/>
          <w:color w:val="000000"/>
          <w:sz w:val="24"/>
          <w:szCs w:val="24"/>
          <w:lang w:eastAsia="en-GB"/>
        </w:rPr>
        <w:t xml:space="preserve"> government gateway credentials they sign in with those existing credentials.</w:t>
      </w:r>
      <w:r>
        <w:rPr>
          <w:rFonts w:ascii="Arial" w:eastAsia="Times New Roman" w:hAnsi="Arial" w:cs="Arial"/>
          <w:color w:val="000000"/>
          <w:sz w:val="24"/>
          <w:szCs w:val="24"/>
          <w:lang w:eastAsia="en-GB"/>
        </w:rPr>
        <w:t xml:space="preserve"> If they do not, they will have to create a user name and password.</w:t>
      </w:r>
    </w:p>
    <w:p w14:paraId="3C043051" w14:textId="77777777" w:rsidR="00D12AB4" w:rsidRDefault="00D12AB4" w:rsidP="00D12AB4">
      <w:pPr>
        <w:ind w:left="720"/>
        <w:jc w:val="both"/>
        <w:rPr>
          <w:rFonts w:ascii="Arial" w:eastAsia="Times New Roman" w:hAnsi="Arial" w:cs="Arial"/>
          <w:color w:val="000000"/>
          <w:sz w:val="24"/>
          <w:szCs w:val="24"/>
          <w:lang w:eastAsia="en-GB"/>
        </w:rPr>
      </w:pPr>
      <w:r w:rsidRPr="00B165A9">
        <w:rPr>
          <w:rFonts w:ascii="Arial" w:eastAsia="Times New Roman" w:hAnsi="Arial" w:cs="Arial"/>
          <w:color w:val="000000"/>
          <w:sz w:val="24"/>
          <w:szCs w:val="24"/>
          <w:lang w:eastAsia="en-GB"/>
        </w:rPr>
        <w:t xml:space="preserve">Once the CGT UK </w:t>
      </w:r>
      <w:r>
        <w:rPr>
          <w:rFonts w:ascii="Arial" w:eastAsia="Times New Roman" w:hAnsi="Arial" w:cs="Arial"/>
          <w:color w:val="000000"/>
          <w:sz w:val="24"/>
          <w:szCs w:val="24"/>
          <w:lang w:eastAsia="en-GB"/>
        </w:rPr>
        <w:t>P</w:t>
      </w:r>
      <w:r w:rsidRPr="00B165A9">
        <w:rPr>
          <w:rFonts w:ascii="Arial" w:eastAsia="Times New Roman" w:hAnsi="Arial" w:cs="Arial"/>
          <w:color w:val="000000"/>
          <w:sz w:val="24"/>
          <w:szCs w:val="24"/>
          <w:lang w:eastAsia="en-GB"/>
        </w:rPr>
        <w:t xml:space="preserve">roperty </w:t>
      </w:r>
      <w:r>
        <w:rPr>
          <w:rFonts w:ascii="Arial" w:eastAsia="Times New Roman" w:hAnsi="Arial" w:cs="Arial"/>
          <w:color w:val="000000"/>
          <w:sz w:val="24"/>
          <w:szCs w:val="24"/>
          <w:lang w:eastAsia="en-GB"/>
        </w:rPr>
        <w:t>A</w:t>
      </w:r>
      <w:r w:rsidRPr="00B165A9">
        <w:rPr>
          <w:rFonts w:ascii="Arial" w:eastAsia="Times New Roman" w:hAnsi="Arial" w:cs="Arial"/>
          <w:color w:val="000000"/>
          <w:sz w:val="24"/>
          <w:szCs w:val="24"/>
          <w:lang w:eastAsia="en-GB"/>
        </w:rPr>
        <w:t xml:space="preserve">ccount has been set up is it possible for the taxpayer to authorise an agent to </w:t>
      </w:r>
      <w:r>
        <w:rPr>
          <w:rFonts w:ascii="Arial" w:eastAsia="Times New Roman" w:hAnsi="Arial" w:cs="Arial"/>
          <w:color w:val="000000"/>
          <w:sz w:val="24"/>
          <w:szCs w:val="24"/>
          <w:lang w:eastAsia="en-GB"/>
        </w:rPr>
        <w:t xml:space="preserve">use the online procedure </w:t>
      </w:r>
      <w:r w:rsidRPr="00B165A9">
        <w:rPr>
          <w:rFonts w:ascii="Arial" w:eastAsia="Times New Roman" w:hAnsi="Arial" w:cs="Arial"/>
          <w:color w:val="000000"/>
          <w:sz w:val="24"/>
          <w:szCs w:val="24"/>
          <w:lang w:eastAsia="en-GB"/>
        </w:rPr>
        <w:t>report the gain on their behalf</w:t>
      </w:r>
      <w:r>
        <w:rPr>
          <w:rFonts w:ascii="Arial" w:eastAsia="Times New Roman" w:hAnsi="Arial" w:cs="Arial"/>
          <w:color w:val="000000"/>
          <w:sz w:val="24"/>
          <w:szCs w:val="24"/>
          <w:lang w:eastAsia="en-GB"/>
        </w:rPr>
        <w:t xml:space="preserve"> (but not in the case of PRs – see below)</w:t>
      </w:r>
      <w:r w:rsidRPr="00B165A9">
        <w:rPr>
          <w:rFonts w:ascii="Arial" w:eastAsia="Times New Roman" w:hAnsi="Arial" w:cs="Arial"/>
          <w:color w:val="000000"/>
          <w:sz w:val="24"/>
          <w:szCs w:val="24"/>
          <w:lang w:eastAsia="en-GB"/>
        </w:rPr>
        <w:t>.</w:t>
      </w:r>
    </w:p>
    <w:p w14:paraId="07BE6B2C" w14:textId="77777777" w:rsidR="00D12AB4" w:rsidRDefault="00D12AB4" w:rsidP="00D12AB4">
      <w:pPr>
        <w:ind w:left="720"/>
        <w:jc w:val="both"/>
        <w:rPr>
          <w:rFonts w:ascii="Arial" w:eastAsia="Times New Roman" w:hAnsi="Arial" w:cs="Arial"/>
          <w:b/>
          <w:bCs/>
          <w:color w:val="000000"/>
          <w:sz w:val="24"/>
          <w:szCs w:val="24"/>
          <w:lang w:eastAsia="en-GB"/>
        </w:rPr>
      </w:pPr>
      <w:r>
        <w:rPr>
          <w:rFonts w:ascii="Arial" w:eastAsia="Times New Roman" w:hAnsi="Arial" w:cs="Arial"/>
          <w:color w:val="000000"/>
          <w:sz w:val="24"/>
          <w:szCs w:val="24"/>
          <w:lang w:eastAsia="en-GB"/>
        </w:rPr>
        <w:t>The ICAEW and ATT  guides referred to above has a step-by-step guide to the process.</w:t>
      </w:r>
    </w:p>
    <w:bookmarkEnd w:id="6"/>
    <w:p w14:paraId="2F221EFF" w14:textId="271C0B72" w:rsidR="00D12AB4" w:rsidRPr="001E7C6F" w:rsidRDefault="00D12AB4" w:rsidP="00D12AB4">
      <w:pPr>
        <w:jc w:val="both"/>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1.3</w:t>
      </w:r>
      <w:r>
        <w:rPr>
          <w:rFonts w:ascii="Arial" w:eastAsia="Times New Roman" w:hAnsi="Arial" w:cs="Arial"/>
          <w:b/>
          <w:bCs/>
          <w:color w:val="000000"/>
          <w:sz w:val="24"/>
          <w:szCs w:val="24"/>
          <w:lang w:eastAsia="en-GB"/>
        </w:rPr>
        <w:tab/>
        <w:t>T</w:t>
      </w:r>
      <w:r w:rsidRPr="001E7C6F">
        <w:rPr>
          <w:rFonts w:ascii="Arial" w:eastAsia="Times New Roman" w:hAnsi="Arial" w:cs="Arial"/>
          <w:b/>
          <w:bCs/>
          <w:color w:val="000000"/>
          <w:sz w:val="24"/>
          <w:szCs w:val="24"/>
          <w:lang w:eastAsia="en-GB"/>
        </w:rPr>
        <w:t>rustees</w:t>
      </w:r>
      <w:r w:rsidRPr="006C1967">
        <w:rPr>
          <w:rFonts w:ascii="Arial" w:eastAsia="Times New Roman" w:hAnsi="Arial" w:cs="Arial"/>
          <w:b/>
          <w:bCs/>
          <w:color w:val="000000"/>
          <w:sz w:val="24"/>
          <w:szCs w:val="24"/>
          <w:lang w:eastAsia="en-GB"/>
        </w:rPr>
        <w:t xml:space="preserve"> </w:t>
      </w:r>
      <w:r w:rsidRPr="001E7C6F">
        <w:rPr>
          <w:rFonts w:ascii="Arial" w:eastAsia="Times New Roman" w:hAnsi="Arial" w:cs="Arial"/>
          <w:b/>
          <w:bCs/>
          <w:color w:val="000000"/>
          <w:sz w:val="24"/>
          <w:szCs w:val="24"/>
          <w:lang w:eastAsia="en-GB"/>
        </w:rPr>
        <w:t>and</w:t>
      </w:r>
      <w:r>
        <w:rPr>
          <w:rFonts w:ascii="Arial" w:eastAsia="Times New Roman" w:hAnsi="Arial" w:cs="Arial"/>
          <w:b/>
          <w:bCs/>
          <w:color w:val="000000"/>
          <w:sz w:val="24"/>
          <w:szCs w:val="24"/>
          <w:lang w:eastAsia="en-GB"/>
        </w:rPr>
        <w:t xml:space="preserve"> PR</w:t>
      </w:r>
      <w:r w:rsidRPr="001E7C6F">
        <w:rPr>
          <w:rFonts w:ascii="Arial" w:eastAsia="Times New Roman" w:hAnsi="Arial" w:cs="Arial"/>
          <w:b/>
          <w:bCs/>
          <w:color w:val="000000"/>
          <w:sz w:val="24"/>
          <w:szCs w:val="24"/>
          <w:lang w:eastAsia="en-GB"/>
        </w:rPr>
        <w:t xml:space="preserve">s </w:t>
      </w:r>
    </w:p>
    <w:p w14:paraId="4B0BF653" w14:textId="77777777" w:rsidR="00D12AB4" w:rsidRDefault="00D12AB4" w:rsidP="00D12AB4">
      <w:pPr>
        <w:ind w:left="720"/>
        <w:jc w:val="both"/>
        <w:rPr>
          <w:rFonts w:ascii="Arial" w:eastAsia="Times New Roman" w:hAnsi="Arial" w:cs="Arial"/>
          <w:color w:val="000000"/>
          <w:sz w:val="24"/>
          <w:szCs w:val="24"/>
          <w:lang w:eastAsia="en-GB"/>
        </w:rPr>
      </w:pPr>
      <w:r w:rsidRPr="007A472C">
        <w:rPr>
          <w:rFonts w:ascii="Arial" w:eastAsia="Times New Roman" w:hAnsi="Arial" w:cs="Arial"/>
          <w:b/>
          <w:bCs/>
          <w:color w:val="000000"/>
          <w:sz w:val="24"/>
          <w:szCs w:val="24"/>
          <w:lang w:eastAsia="en-GB"/>
        </w:rPr>
        <w:t>Trustees</w:t>
      </w:r>
      <w:r>
        <w:rPr>
          <w:rFonts w:ascii="Arial" w:eastAsia="Times New Roman" w:hAnsi="Arial" w:cs="Arial"/>
          <w:color w:val="000000"/>
          <w:sz w:val="24"/>
          <w:szCs w:val="24"/>
          <w:lang w:eastAsia="en-GB"/>
        </w:rPr>
        <w:t>: Trustees</w:t>
      </w:r>
      <w:r w:rsidRPr="00B165A9">
        <w:rPr>
          <w:rFonts w:ascii="Arial" w:eastAsia="Times New Roman" w:hAnsi="Arial" w:cs="Arial"/>
          <w:color w:val="000000"/>
          <w:sz w:val="24"/>
          <w:szCs w:val="24"/>
          <w:lang w:eastAsia="en-GB"/>
        </w:rPr>
        <w:t xml:space="preserve"> who sell or dispose of a UK residential property held in a UK resident trust must ensure that any CGT liability due is reported and paid within 30 days of the completion of the disposal - in the same way as for UK resident individuals.</w:t>
      </w:r>
    </w:p>
    <w:p w14:paraId="24F5B841" w14:textId="77777777" w:rsidR="00D12AB4" w:rsidRDefault="00D12AB4" w:rsidP="00D12AB4">
      <w:pPr>
        <w:ind w:left="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w:t>
      </w:r>
      <w:r w:rsidRPr="00B165A9">
        <w:rPr>
          <w:rFonts w:ascii="Arial" w:eastAsia="Times New Roman" w:hAnsi="Arial" w:cs="Arial"/>
          <w:color w:val="000000"/>
          <w:sz w:val="24"/>
          <w:szCs w:val="24"/>
          <w:lang w:eastAsia="en-GB"/>
        </w:rPr>
        <w:t>egistered trust</w:t>
      </w:r>
      <w:r>
        <w:rPr>
          <w:rFonts w:ascii="Arial" w:eastAsia="Times New Roman" w:hAnsi="Arial" w:cs="Arial"/>
          <w:color w:val="000000"/>
          <w:sz w:val="24"/>
          <w:szCs w:val="24"/>
          <w:lang w:eastAsia="en-GB"/>
        </w:rPr>
        <w:t>s</w:t>
      </w:r>
      <w:r w:rsidRPr="00B165A9">
        <w:rPr>
          <w:rFonts w:ascii="Arial" w:eastAsia="Times New Roman" w:hAnsi="Arial" w:cs="Arial"/>
          <w:color w:val="000000"/>
          <w:sz w:val="24"/>
          <w:szCs w:val="24"/>
          <w:lang w:eastAsia="en-GB"/>
        </w:rPr>
        <w:t xml:space="preserve"> use </w:t>
      </w:r>
      <w:r>
        <w:rPr>
          <w:rFonts w:ascii="Arial" w:eastAsia="Times New Roman" w:hAnsi="Arial" w:cs="Arial"/>
          <w:color w:val="000000"/>
          <w:sz w:val="24"/>
          <w:szCs w:val="24"/>
          <w:lang w:eastAsia="en-GB"/>
        </w:rPr>
        <w:t>thei</w:t>
      </w:r>
      <w:r w:rsidRPr="00B165A9">
        <w:rPr>
          <w:rFonts w:ascii="Arial" w:eastAsia="Times New Roman" w:hAnsi="Arial" w:cs="Arial"/>
          <w:color w:val="000000"/>
          <w:sz w:val="24"/>
          <w:szCs w:val="24"/>
          <w:lang w:eastAsia="en-GB"/>
        </w:rPr>
        <w:t>r UTR to access the online service.</w:t>
      </w:r>
    </w:p>
    <w:p w14:paraId="01AA50E3" w14:textId="77777777" w:rsidR="00D12AB4" w:rsidRDefault="00D12AB4" w:rsidP="00D12AB4">
      <w:pPr>
        <w:ind w:left="720"/>
        <w:jc w:val="both"/>
        <w:rPr>
          <w:rFonts w:ascii="Arial" w:eastAsia="Times New Roman" w:hAnsi="Arial" w:cs="Arial"/>
          <w:color w:val="000000"/>
          <w:sz w:val="24"/>
          <w:szCs w:val="24"/>
          <w:lang w:eastAsia="en-GB"/>
        </w:rPr>
      </w:pPr>
      <w:r w:rsidRPr="007A472C">
        <w:rPr>
          <w:rFonts w:ascii="Arial" w:eastAsia="Times New Roman" w:hAnsi="Arial" w:cs="Arial"/>
          <w:color w:val="000000"/>
          <w:sz w:val="24"/>
          <w:szCs w:val="24"/>
          <w:lang w:eastAsia="en-GB"/>
        </w:rPr>
        <w:t>HMRC has confirmed that a trust will need to register on the Trust Registration Service (TRS) in advance of reporting the property disposal so it can provide either a UTR or a Trust Registration Number as part of the CGT reporting process. The main issue is one of timing, as</w:t>
      </w:r>
      <w:r>
        <w:rPr>
          <w:rFonts w:ascii="Arial" w:eastAsia="Times New Roman" w:hAnsi="Arial" w:cs="Arial"/>
          <w:color w:val="000000"/>
          <w:sz w:val="24"/>
          <w:szCs w:val="24"/>
          <w:lang w:eastAsia="en-GB"/>
        </w:rPr>
        <w:t>,</w:t>
      </w:r>
      <w:r w:rsidRPr="007A472C">
        <w:rPr>
          <w:rFonts w:ascii="Arial" w:eastAsia="Times New Roman" w:hAnsi="Arial" w:cs="Arial"/>
          <w:color w:val="000000"/>
          <w:sz w:val="24"/>
          <w:szCs w:val="24"/>
          <w:lang w:eastAsia="en-GB"/>
        </w:rPr>
        <w:t xml:space="preserve"> under current rules</w:t>
      </w:r>
      <w:r>
        <w:rPr>
          <w:rFonts w:ascii="Arial" w:eastAsia="Times New Roman" w:hAnsi="Arial" w:cs="Arial"/>
          <w:color w:val="000000"/>
          <w:sz w:val="24"/>
          <w:szCs w:val="24"/>
          <w:lang w:eastAsia="en-GB"/>
        </w:rPr>
        <w:t>,</w:t>
      </w:r>
      <w:r w:rsidRPr="007A472C">
        <w:rPr>
          <w:rFonts w:ascii="Arial" w:eastAsia="Times New Roman" w:hAnsi="Arial" w:cs="Arial"/>
          <w:color w:val="000000"/>
          <w:sz w:val="24"/>
          <w:szCs w:val="24"/>
          <w:lang w:eastAsia="en-GB"/>
        </w:rPr>
        <w:t xml:space="preserve"> trustees </w:t>
      </w:r>
      <w:r>
        <w:rPr>
          <w:rFonts w:ascii="Arial" w:eastAsia="Times New Roman" w:hAnsi="Arial" w:cs="Arial"/>
          <w:color w:val="000000"/>
          <w:sz w:val="24"/>
          <w:szCs w:val="24"/>
          <w:lang w:eastAsia="en-GB"/>
        </w:rPr>
        <w:t xml:space="preserve">of an unregistered trust incurring a liability </w:t>
      </w:r>
      <w:r w:rsidRPr="007A472C">
        <w:rPr>
          <w:rFonts w:ascii="Arial" w:eastAsia="Times New Roman" w:hAnsi="Arial" w:cs="Arial"/>
          <w:color w:val="000000"/>
          <w:sz w:val="24"/>
          <w:szCs w:val="24"/>
          <w:lang w:eastAsia="en-GB"/>
        </w:rPr>
        <w:t xml:space="preserve">to pay income tax/CGT </w:t>
      </w:r>
      <w:r>
        <w:rPr>
          <w:rFonts w:ascii="Arial" w:eastAsia="Times New Roman" w:hAnsi="Arial" w:cs="Arial"/>
          <w:color w:val="000000"/>
          <w:sz w:val="24"/>
          <w:szCs w:val="24"/>
          <w:lang w:eastAsia="en-GB"/>
        </w:rPr>
        <w:t xml:space="preserve">for the first time in 2020/21 would have until </w:t>
      </w:r>
      <w:r w:rsidRPr="007A472C">
        <w:rPr>
          <w:rFonts w:ascii="Arial" w:eastAsia="Times New Roman" w:hAnsi="Arial" w:cs="Arial"/>
          <w:color w:val="000000"/>
          <w:sz w:val="24"/>
          <w:szCs w:val="24"/>
          <w:lang w:eastAsia="en-GB"/>
        </w:rPr>
        <w:t xml:space="preserve">5 October </w:t>
      </w:r>
      <w:r>
        <w:rPr>
          <w:rFonts w:ascii="Arial" w:eastAsia="Times New Roman" w:hAnsi="Arial" w:cs="Arial"/>
          <w:color w:val="000000"/>
          <w:sz w:val="24"/>
          <w:szCs w:val="24"/>
          <w:lang w:eastAsia="en-GB"/>
        </w:rPr>
        <w:t>2021</w:t>
      </w:r>
      <w:r w:rsidRPr="007A472C">
        <w:rPr>
          <w:rFonts w:ascii="Arial" w:eastAsia="Times New Roman" w:hAnsi="Arial" w:cs="Arial"/>
          <w:color w:val="000000"/>
          <w:sz w:val="24"/>
          <w:szCs w:val="24"/>
          <w:lang w:eastAsia="en-GB"/>
        </w:rPr>
        <w:t xml:space="preserve"> to register</w:t>
      </w:r>
      <w:r>
        <w:rPr>
          <w:rFonts w:ascii="Arial" w:eastAsia="Times New Roman" w:hAnsi="Arial" w:cs="Arial"/>
          <w:color w:val="000000"/>
          <w:sz w:val="24"/>
          <w:szCs w:val="24"/>
          <w:lang w:eastAsia="en-GB"/>
        </w:rPr>
        <w:t xml:space="preserve">. </w:t>
      </w:r>
      <w:r w:rsidRPr="00B165A9">
        <w:rPr>
          <w:rFonts w:ascii="Arial" w:eastAsia="Times New Roman" w:hAnsi="Arial" w:cs="Arial"/>
          <w:color w:val="000000"/>
          <w:sz w:val="24"/>
          <w:szCs w:val="24"/>
          <w:lang w:eastAsia="en-GB"/>
        </w:rPr>
        <w:t xml:space="preserve">If the trustees are in the process of registering and are waiting for a UTR, they can use the Temporary Reference Number to access the new Capital Gains Tax Service. </w:t>
      </w:r>
    </w:p>
    <w:p w14:paraId="7DEDBB93" w14:textId="77777777" w:rsidR="00D12AB4" w:rsidRDefault="00D12AB4" w:rsidP="00D12AB4">
      <w:pPr>
        <w:ind w:left="720"/>
        <w:jc w:val="both"/>
        <w:rPr>
          <w:rFonts w:ascii="Arial" w:eastAsia="Times New Roman" w:hAnsi="Arial" w:cs="Arial"/>
          <w:color w:val="000000"/>
          <w:sz w:val="24"/>
          <w:szCs w:val="24"/>
          <w:lang w:eastAsia="en-GB"/>
        </w:rPr>
      </w:pPr>
      <w:bookmarkStart w:id="7" w:name="_Hlk54691846"/>
      <w:r>
        <w:rPr>
          <w:rFonts w:ascii="Arial" w:eastAsia="Times New Roman" w:hAnsi="Arial" w:cs="Arial"/>
          <w:color w:val="000000"/>
          <w:sz w:val="24"/>
          <w:szCs w:val="24"/>
          <w:lang w:eastAsia="en-GB"/>
        </w:rPr>
        <w:t>From March 2022</w:t>
      </w:r>
      <w:r w:rsidRPr="00B34974">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as a result of the increased requirement for registration within 30 days of creation following implementation of the 5</w:t>
      </w:r>
      <w:r w:rsidRPr="008A69CC">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Anti-Money Laundering Directive, this will be less of a problem as there will be far</w:t>
      </w:r>
      <w:r w:rsidRPr="00B34974">
        <w:rPr>
          <w:rFonts w:ascii="Arial" w:eastAsia="Times New Roman" w:hAnsi="Arial" w:cs="Arial"/>
          <w:color w:val="000000"/>
          <w:sz w:val="24"/>
          <w:szCs w:val="24"/>
          <w:lang w:eastAsia="en-GB"/>
        </w:rPr>
        <w:t xml:space="preserve"> fewer unregistered trusts.</w:t>
      </w:r>
    </w:p>
    <w:bookmarkEnd w:id="7"/>
    <w:p w14:paraId="2441EF91" w14:textId="77777777" w:rsidR="00D12AB4" w:rsidRDefault="00D12AB4" w:rsidP="00D12AB4">
      <w:pPr>
        <w:ind w:left="720"/>
        <w:jc w:val="both"/>
        <w:rPr>
          <w:rFonts w:ascii="Arial" w:eastAsia="Times New Roman" w:hAnsi="Arial" w:cs="Arial"/>
          <w:color w:val="000000"/>
          <w:sz w:val="24"/>
          <w:szCs w:val="24"/>
          <w:lang w:eastAsia="en-GB"/>
        </w:rPr>
      </w:pPr>
      <w:r w:rsidRPr="007A472C">
        <w:rPr>
          <w:rFonts w:ascii="Arial" w:eastAsia="Times New Roman" w:hAnsi="Arial" w:cs="Arial"/>
          <w:b/>
          <w:bCs/>
          <w:color w:val="000000"/>
          <w:sz w:val="24"/>
          <w:szCs w:val="24"/>
          <w:lang w:eastAsia="en-GB"/>
        </w:rPr>
        <w:t>PRs:</w:t>
      </w:r>
      <w:r>
        <w:rPr>
          <w:rFonts w:ascii="Arial" w:eastAsia="Times New Roman" w:hAnsi="Arial" w:cs="Arial"/>
          <w:color w:val="000000"/>
          <w:sz w:val="24"/>
          <w:szCs w:val="24"/>
          <w:lang w:eastAsia="en-GB"/>
        </w:rPr>
        <w:t xml:space="preserve"> The August 2020 Trusts and Estates Newsletter included this reminder of accelerated payment dates for CGT on disposals  by PRs of UK residential property. </w:t>
      </w:r>
    </w:p>
    <w:p w14:paraId="109041C1" w14:textId="77777777" w:rsidR="00D12AB4" w:rsidRPr="00546DBB" w:rsidRDefault="00D12AB4" w:rsidP="00D12AB4">
      <w:pPr>
        <w:ind w:left="1440"/>
        <w:jc w:val="both"/>
        <w:rPr>
          <w:rFonts w:ascii="Arial" w:eastAsia="Times New Roman" w:hAnsi="Arial" w:cs="Arial"/>
          <w:i/>
          <w:iCs/>
          <w:color w:val="000000"/>
          <w:sz w:val="24"/>
          <w:szCs w:val="24"/>
          <w:lang w:eastAsia="en-GB"/>
        </w:rPr>
      </w:pPr>
      <w:r w:rsidRPr="00546DBB">
        <w:rPr>
          <w:rFonts w:ascii="Arial" w:eastAsia="Times New Roman" w:hAnsi="Arial" w:cs="Arial"/>
          <w:i/>
          <w:iCs/>
          <w:color w:val="000000"/>
          <w:sz w:val="24"/>
          <w:szCs w:val="24"/>
          <w:lang w:eastAsia="en-GB"/>
        </w:rPr>
        <w:lastRenderedPageBreak/>
        <w:t>“If a personal representative has disposed of UK residential property which gives rise to a Capital Gains Tax liability they must report and pay the tax due within 30 days of the completion date.</w:t>
      </w:r>
    </w:p>
    <w:p w14:paraId="093745CF" w14:textId="77777777" w:rsidR="00D12AB4" w:rsidRDefault="00D12AB4" w:rsidP="00D12AB4">
      <w:pPr>
        <w:ind w:left="1440"/>
        <w:jc w:val="both"/>
        <w:rPr>
          <w:rFonts w:ascii="Arial" w:eastAsia="Times New Roman" w:hAnsi="Arial" w:cs="Arial"/>
          <w:i/>
          <w:iCs/>
          <w:color w:val="000000"/>
          <w:sz w:val="24"/>
          <w:szCs w:val="24"/>
          <w:lang w:eastAsia="en-GB"/>
        </w:rPr>
      </w:pPr>
      <w:r w:rsidRPr="00546DBB">
        <w:rPr>
          <w:rFonts w:ascii="Arial" w:eastAsia="Times New Roman" w:hAnsi="Arial" w:cs="Arial"/>
          <w:i/>
          <w:iCs/>
          <w:color w:val="000000"/>
          <w:sz w:val="24"/>
          <w:szCs w:val="24"/>
          <w:lang w:eastAsia="en-GB"/>
        </w:rPr>
        <w:t xml:space="preserve">This can be reported through the new Capital Gains Tax payment on property disposals service if this disposal occurs before they are ready to finalise the estate’s tax affairs. </w:t>
      </w:r>
    </w:p>
    <w:p w14:paraId="287DCE9F" w14:textId="77777777" w:rsidR="00D12AB4" w:rsidRDefault="00D12AB4" w:rsidP="00D12AB4">
      <w:pPr>
        <w:ind w:left="1440"/>
        <w:jc w:val="both"/>
        <w:rPr>
          <w:rFonts w:ascii="Arial" w:eastAsia="Times New Roman" w:hAnsi="Arial" w:cs="Arial"/>
          <w:i/>
          <w:iCs/>
          <w:color w:val="000000"/>
          <w:sz w:val="24"/>
          <w:szCs w:val="24"/>
          <w:lang w:eastAsia="en-GB"/>
        </w:rPr>
      </w:pPr>
      <w:r w:rsidRPr="00546DBB">
        <w:rPr>
          <w:rFonts w:ascii="Arial" w:eastAsia="Times New Roman" w:hAnsi="Arial" w:cs="Arial"/>
          <w:i/>
          <w:iCs/>
          <w:color w:val="000000"/>
          <w:sz w:val="24"/>
          <w:szCs w:val="24"/>
          <w:lang w:eastAsia="en-GB"/>
        </w:rPr>
        <w:t xml:space="preserve">Or, if following the disposal of UK residential property which gives rise to a Capital Gains Tax liability, the personal representative is also ready to finalise the estate’s tax affairs in their entirety and pay any tax due, they can report and pay through the existing processes as set out on GOV.UK but still within the Capital Gains Tax payment on property disposals 30 day window. </w:t>
      </w:r>
    </w:p>
    <w:p w14:paraId="7D6C7AFB" w14:textId="77777777" w:rsidR="00D12AB4" w:rsidRPr="00F15DC3" w:rsidRDefault="00D12AB4" w:rsidP="00D12AB4">
      <w:pPr>
        <w:ind w:left="720"/>
        <w:jc w:val="both"/>
        <w:rPr>
          <w:rFonts w:ascii="Arial" w:eastAsia="Times New Roman" w:hAnsi="Arial" w:cs="Arial"/>
          <w:b/>
          <w:bCs/>
          <w:color w:val="000000"/>
          <w:sz w:val="24"/>
          <w:szCs w:val="24"/>
          <w:lang w:eastAsia="en-GB"/>
        </w:rPr>
      </w:pPr>
      <w:r w:rsidRPr="00F15DC3">
        <w:rPr>
          <w:rFonts w:ascii="Arial" w:eastAsia="Times New Roman" w:hAnsi="Arial" w:cs="Arial"/>
          <w:b/>
          <w:bCs/>
          <w:color w:val="000000"/>
          <w:sz w:val="24"/>
          <w:szCs w:val="24"/>
          <w:lang w:eastAsia="en-GB"/>
        </w:rPr>
        <w:t>Procedure where PRs not ready to finalise estate</w:t>
      </w:r>
      <w:r>
        <w:rPr>
          <w:rFonts w:ascii="Arial" w:eastAsia="Times New Roman" w:hAnsi="Arial" w:cs="Arial"/>
          <w:b/>
          <w:bCs/>
          <w:color w:val="000000"/>
          <w:sz w:val="24"/>
          <w:szCs w:val="24"/>
          <w:lang w:eastAsia="en-GB"/>
        </w:rPr>
        <w:t>’</w:t>
      </w:r>
      <w:r w:rsidRPr="00F15DC3">
        <w:rPr>
          <w:rFonts w:ascii="Arial" w:eastAsia="Times New Roman" w:hAnsi="Arial" w:cs="Arial"/>
          <w:b/>
          <w:bCs/>
          <w:color w:val="000000"/>
          <w:sz w:val="24"/>
          <w:szCs w:val="24"/>
          <w:lang w:eastAsia="en-GB"/>
        </w:rPr>
        <w:t>s tax affairs</w:t>
      </w:r>
    </w:p>
    <w:p w14:paraId="45B6EB7D" w14:textId="77777777" w:rsidR="00D12AB4" w:rsidRPr="00F15DC3" w:rsidRDefault="00D12AB4" w:rsidP="00D12AB4">
      <w:pPr>
        <w:spacing w:before="100" w:beforeAutospacing="1" w:after="100" w:afterAutospacing="1" w:line="240" w:lineRule="auto"/>
        <w:ind w:left="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An online</w:t>
      </w:r>
      <w:r w:rsidRPr="00F15DC3">
        <w:rPr>
          <w:rFonts w:ascii="Arial" w:eastAsia="Times New Roman" w:hAnsi="Arial" w:cs="Arial"/>
          <w:color w:val="000000"/>
          <w:sz w:val="24"/>
          <w:szCs w:val="24"/>
          <w:lang w:eastAsia="en-GB"/>
        </w:rPr>
        <w:t xml:space="preserve"> report will have to be made within 30 days of completion. </w:t>
      </w:r>
    </w:p>
    <w:p w14:paraId="15750171" w14:textId="77777777" w:rsidR="00D12AB4" w:rsidRPr="00F15DC3" w:rsidRDefault="00D12AB4" w:rsidP="00D12AB4">
      <w:pPr>
        <w:spacing w:before="100" w:beforeAutospacing="1" w:after="100" w:afterAutospacing="1" w:line="240" w:lineRule="auto"/>
        <w:ind w:left="720"/>
        <w:jc w:val="both"/>
        <w:rPr>
          <w:rFonts w:ascii="Arial" w:eastAsia="Times New Roman" w:hAnsi="Arial" w:cs="Arial"/>
          <w:color w:val="000000"/>
          <w:sz w:val="24"/>
          <w:szCs w:val="24"/>
          <w:lang w:eastAsia="en-GB"/>
        </w:rPr>
      </w:pPr>
      <w:r w:rsidRPr="00F15DC3">
        <w:rPr>
          <w:rFonts w:ascii="Arial" w:eastAsia="Times New Roman" w:hAnsi="Arial" w:cs="Arial"/>
          <w:color w:val="000000"/>
          <w:sz w:val="24"/>
          <w:szCs w:val="24"/>
          <w:lang w:eastAsia="en-GB"/>
        </w:rPr>
        <w:t xml:space="preserve">The Gov.UK guidance referred to above includes instructions on how </w:t>
      </w:r>
      <w:r w:rsidRPr="00F15DC3">
        <w:rPr>
          <w:rFonts w:ascii="Arial" w:eastAsia="Times New Roman" w:hAnsi="Arial" w:cs="Arial"/>
          <w:b/>
          <w:bCs/>
          <w:i/>
          <w:iCs/>
          <w:color w:val="000000"/>
          <w:sz w:val="24"/>
          <w:szCs w:val="24"/>
          <w:lang w:eastAsia="en-GB"/>
        </w:rPr>
        <w:t>unrepresented</w:t>
      </w:r>
      <w:r w:rsidRPr="00F15DC3">
        <w:rPr>
          <w:rFonts w:ascii="Arial" w:eastAsia="Times New Roman" w:hAnsi="Arial" w:cs="Arial"/>
          <w:color w:val="000000"/>
          <w:sz w:val="24"/>
          <w:szCs w:val="24"/>
          <w:lang w:eastAsia="en-GB"/>
        </w:rPr>
        <w:t xml:space="preserve">  PRs can file a return under the heading ‘</w:t>
      </w:r>
      <w:r w:rsidRPr="00F15DC3">
        <w:rPr>
          <w:rFonts w:ascii="Arial" w:eastAsia="Times New Roman" w:hAnsi="Arial" w:cs="Arial"/>
          <w:i/>
          <w:iCs/>
          <w:color w:val="000000"/>
          <w:sz w:val="24"/>
          <w:szCs w:val="24"/>
          <w:lang w:eastAsia="en-GB"/>
        </w:rPr>
        <w:t xml:space="preserve">If you’re a capacitor or personal representative’. </w:t>
      </w:r>
      <w:r w:rsidRPr="00F15DC3">
        <w:rPr>
          <w:rFonts w:ascii="Arial" w:eastAsia="Times New Roman" w:hAnsi="Arial" w:cs="Arial"/>
          <w:color w:val="000000"/>
          <w:sz w:val="24"/>
          <w:szCs w:val="24"/>
          <w:lang w:eastAsia="en-GB"/>
        </w:rPr>
        <w:t xml:space="preserve">However, this process is not intended for use by agents who cannot currently use the online service on behalf of PRs. </w:t>
      </w:r>
    </w:p>
    <w:p w14:paraId="44C4F629" w14:textId="77777777" w:rsidR="00D12AB4" w:rsidRDefault="00D12AB4" w:rsidP="00D12AB4">
      <w:pPr>
        <w:spacing w:before="100" w:beforeAutospacing="1" w:after="100" w:afterAutospacing="1" w:line="240" w:lineRule="auto"/>
        <w:ind w:left="720"/>
        <w:jc w:val="both"/>
        <w:rPr>
          <w:rFonts w:ascii="Arial" w:eastAsia="Times New Roman" w:hAnsi="Arial" w:cs="Arial"/>
          <w:color w:val="000000"/>
          <w:sz w:val="24"/>
          <w:szCs w:val="24"/>
          <w:lang w:eastAsia="en-GB"/>
        </w:rPr>
      </w:pPr>
      <w:bookmarkStart w:id="8" w:name="_Hlk54782706"/>
      <w:r w:rsidRPr="00F15DC3">
        <w:rPr>
          <w:rFonts w:ascii="Arial" w:eastAsia="Times New Roman" w:hAnsi="Arial" w:cs="Arial"/>
          <w:color w:val="000000"/>
          <w:sz w:val="24"/>
          <w:szCs w:val="24"/>
          <w:lang w:eastAsia="en-GB"/>
        </w:rPr>
        <w:t>A PR reporting on behalf of the estate would create a</w:t>
      </w:r>
      <w:r>
        <w:rPr>
          <w:rFonts w:ascii="Arial" w:eastAsia="Times New Roman" w:hAnsi="Arial" w:cs="Arial"/>
          <w:color w:val="000000"/>
          <w:sz w:val="24"/>
          <w:szCs w:val="24"/>
          <w:lang w:eastAsia="en-GB"/>
        </w:rPr>
        <w:t xml:space="preserve"> UK</w:t>
      </w:r>
      <w:r w:rsidRPr="00F15DC3">
        <w:rPr>
          <w:rFonts w:ascii="Arial" w:eastAsia="Times New Roman" w:hAnsi="Arial" w:cs="Arial"/>
          <w:color w:val="000000"/>
          <w:sz w:val="24"/>
          <w:szCs w:val="24"/>
          <w:lang w:eastAsia="en-GB"/>
        </w:rPr>
        <w:t xml:space="preserve"> Property Account in their own name using their own credentials, but select the option to report on behalf of another person. Once logged into their account, they will be able to submit a CGT Return on behalf of the estate, by providing personal details for the deceased which could (but does not have to) include the deceased’s UTR. </w:t>
      </w:r>
    </w:p>
    <w:p w14:paraId="53245FE1" w14:textId="77777777" w:rsidR="00D12AB4" w:rsidRPr="00F15DC3" w:rsidRDefault="00D12AB4" w:rsidP="00D12AB4">
      <w:pPr>
        <w:spacing w:before="100" w:beforeAutospacing="1" w:after="100" w:afterAutospacing="1" w:line="240" w:lineRule="auto"/>
        <w:ind w:left="720"/>
        <w:jc w:val="both"/>
        <w:rPr>
          <w:rFonts w:ascii="Arial" w:eastAsia="Times New Roman" w:hAnsi="Arial" w:cs="Arial"/>
          <w:color w:val="000000"/>
          <w:sz w:val="24"/>
          <w:szCs w:val="24"/>
          <w:lang w:eastAsia="en-GB"/>
        </w:rPr>
      </w:pPr>
      <w:r w:rsidRPr="00F15DC3">
        <w:rPr>
          <w:rFonts w:ascii="Arial" w:eastAsia="Times New Roman" w:hAnsi="Arial" w:cs="Arial"/>
          <w:color w:val="000000"/>
          <w:sz w:val="24"/>
          <w:szCs w:val="24"/>
          <w:lang w:eastAsia="en-GB"/>
        </w:rPr>
        <w:t>Note that this service allows a PR to file a return but does not provide online access to view the return or make payment online. The ICAEW guide says that it  understands that the return is</w:t>
      </w:r>
      <w:r>
        <w:rPr>
          <w:rFonts w:ascii="Arial" w:eastAsia="Times New Roman" w:hAnsi="Arial" w:cs="Arial"/>
          <w:color w:val="000000"/>
          <w:sz w:val="24"/>
          <w:szCs w:val="24"/>
          <w:lang w:eastAsia="en-GB"/>
        </w:rPr>
        <w:t>,</w:t>
      </w:r>
      <w:r w:rsidRPr="00F15DC3">
        <w:rPr>
          <w:rFonts w:ascii="Arial" w:eastAsia="Times New Roman" w:hAnsi="Arial" w:cs="Arial"/>
          <w:color w:val="000000"/>
          <w:sz w:val="24"/>
          <w:szCs w:val="24"/>
          <w:lang w:eastAsia="en-GB"/>
        </w:rPr>
        <w:t xml:space="preserve"> in fact</w:t>
      </w:r>
      <w:r>
        <w:rPr>
          <w:rFonts w:ascii="Arial" w:eastAsia="Times New Roman" w:hAnsi="Arial" w:cs="Arial"/>
          <w:color w:val="000000"/>
          <w:sz w:val="24"/>
          <w:szCs w:val="24"/>
          <w:lang w:eastAsia="en-GB"/>
        </w:rPr>
        <w:t>,</w:t>
      </w:r>
      <w:r w:rsidRPr="00F15DC3">
        <w:rPr>
          <w:rFonts w:ascii="Arial" w:eastAsia="Times New Roman" w:hAnsi="Arial" w:cs="Arial"/>
          <w:color w:val="000000"/>
          <w:sz w:val="24"/>
          <w:szCs w:val="24"/>
          <w:lang w:eastAsia="en-GB"/>
        </w:rPr>
        <w:t xml:space="preserve"> processed manually by HMRC, who then writes to the PR with instructions on how to pay and grants an extended payment deadline.</w:t>
      </w:r>
    </w:p>
    <w:p w14:paraId="357F248A" w14:textId="77777777" w:rsidR="00D12AB4" w:rsidRDefault="00D12AB4" w:rsidP="00D12AB4">
      <w:pPr>
        <w:spacing w:before="100" w:beforeAutospacing="1" w:after="100" w:afterAutospacing="1" w:line="240" w:lineRule="auto"/>
        <w:ind w:left="720"/>
        <w:jc w:val="both"/>
        <w:rPr>
          <w:rFonts w:ascii="Arial" w:eastAsia="Times New Roman" w:hAnsi="Arial" w:cs="Arial"/>
          <w:color w:val="000000"/>
          <w:sz w:val="24"/>
          <w:szCs w:val="24"/>
          <w:lang w:eastAsia="en-GB"/>
        </w:rPr>
      </w:pPr>
      <w:r w:rsidRPr="00F15DC3">
        <w:rPr>
          <w:rFonts w:ascii="Arial" w:eastAsia="Times New Roman" w:hAnsi="Arial" w:cs="Arial"/>
          <w:color w:val="000000"/>
          <w:sz w:val="24"/>
          <w:szCs w:val="24"/>
          <w:lang w:eastAsia="en-GB"/>
        </w:rPr>
        <w:t xml:space="preserve">The Estate does not have to have registered via the Trust Registration Service as a complex estate (see below) to be able to use the new Capital Gains Tax payment on property disposals procedure. </w:t>
      </w:r>
    </w:p>
    <w:p w14:paraId="69A987E4" w14:textId="77777777" w:rsidR="00D12AB4" w:rsidRPr="00F15DC3" w:rsidRDefault="00D12AB4" w:rsidP="00D12AB4">
      <w:pPr>
        <w:spacing w:before="100" w:beforeAutospacing="1" w:after="100" w:afterAutospacing="1" w:line="240" w:lineRule="auto"/>
        <w:ind w:left="720"/>
        <w:jc w:val="both"/>
        <w:rPr>
          <w:rFonts w:ascii="Arial" w:eastAsia="Times New Roman" w:hAnsi="Arial" w:cs="Arial"/>
          <w:color w:val="000000"/>
          <w:sz w:val="24"/>
          <w:szCs w:val="24"/>
          <w:lang w:eastAsia="en-GB"/>
        </w:rPr>
      </w:pPr>
      <w:r w:rsidRPr="00994671">
        <w:rPr>
          <w:rFonts w:ascii="Arial" w:eastAsia="Times New Roman" w:hAnsi="Arial" w:cs="Arial"/>
          <w:color w:val="000000"/>
          <w:sz w:val="24"/>
          <w:szCs w:val="24"/>
          <w:lang w:eastAsia="en-GB"/>
        </w:rPr>
        <w:t>When the estate makes payment of the balance of CGT and Income tax due, the PRs will need to quote any reference numbers relating to the earlier CGT payment to enable HMRC to link both payments together.</w:t>
      </w:r>
    </w:p>
    <w:p w14:paraId="27CF13CA" w14:textId="77777777" w:rsidR="00D12AB4" w:rsidRDefault="00D12AB4" w:rsidP="00D12AB4">
      <w:pPr>
        <w:spacing w:before="100" w:beforeAutospacing="1" w:after="100" w:afterAutospacing="1" w:line="240" w:lineRule="auto"/>
        <w:ind w:left="720"/>
        <w:jc w:val="both"/>
        <w:rPr>
          <w:rFonts w:ascii="Arial" w:eastAsia="Times New Roman" w:hAnsi="Arial" w:cs="Arial"/>
          <w:color w:val="000000"/>
          <w:sz w:val="24"/>
          <w:szCs w:val="24"/>
          <w:lang w:eastAsia="en-GB"/>
        </w:rPr>
      </w:pPr>
      <w:r w:rsidRPr="00F15DC3">
        <w:rPr>
          <w:rFonts w:ascii="Arial" w:eastAsia="Times New Roman" w:hAnsi="Arial" w:cs="Arial"/>
          <w:color w:val="000000"/>
          <w:sz w:val="24"/>
          <w:szCs w:val="24"/>
          <w:lang w:eastAsia="en-GB"/>
        </w:rPr>
        <w:t>Where an agent is acting for an estate, they should request a paper return, called PPD CGT. This is quite different from the ordinary self-assessment form so, to avoid confusion, it is important to refer to it by name.</w:t>
      </w:r>
      <w:r>
        <w:rPr>
          <w:rFonts w:ascii="Arial" w:eastAsia="Times New Roman" w:hAnsi="Arial" w:cs="Arial"/>
          <w:color w:val="000000"/>
          <w:sz w:val="24"/>
          <w:szCs w:val="24"/>
          <w:lang w:eastAsia="en-GB"/>
        </w:rPr>
        <w:t xml:space="preserve"> </w:t>
      </w:r>
    </w:p>
    <w:p w14:paraId="4E36FDAE" w14:textId="77777777" w:rsidR="00D12AB4" w:rsidRDefault="00D12AB4" w:rsidP="00D12AB4">
      <w:pPr>
        <w:spacing w:before="100" w:beforeAutospacing="1" w:after="100" w:afterAutospacing="1" w:line="240" w:lineRule="auto"/>
        <w:ind w:left="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ICAEW Guide says:</w:t>
      </w:r>
    </w:p>
    <w:p w14:paraId="2EAED920" w14:textId="77777777" w:rsidR="00D12AB4" w:rsidRDefault="00D12AB4" w:rsidP="00D12AB4">
      <w:pPr>
        <w:ind w:left="1440"/>
        <w:jc w:val="both"/>
        <w:rPr>
          <w:rFonts w:ascii="Arial" w:eastAsia="Times New Roman" w:hAnsi="Arial" w:cs="Arial"/>
          <w:i/>
          <w:iCs/>
          <w:color w:val="000000"/>
          <w:sz w:val="24"/>
          <w:szCs w:val="24"/>
          <w:lang w:eastAsia="en-GB"/>
        </w:rPr>
      </w:pPr>
      <w:r w:rsidRPr="00BA2B92">
        <w:rPr>
          <w:rFonts w:ascii="Arial" w:eastAsia="Times New Roman" w:hAnsi="Arial" w:cs="Arial"/>
          <w:i/>
          <w:iCs/>
          <w:color w:val="000000"/>
          <w:sz w:val="24"/>
          <w:szCs w:val="24"/>
          <w:lang w:eastAsia="en-GB"/>
        </w:rPr>
        <w:lastRenderedPageBreak/>
        <w:t>“Given the very short time in which returns must be filed, it is advisable to request the paper returns as early as possible in the process, ideally in advance of the sale. We understand that HMRC may ‘stop the clock’ (ie, pause the 30-day count from the completion date to the submission and payment deadline) during the period between receipt of a completed paper return and the issue of the payment demand so that the taxpayer is not penalised for any delay in HMRC processing the return but the exact details of how this works are unclear.”</w:t>
      </w:r>
    </w:p>
    <w:bookmarkEnd w:id="8"/>
    <w:p w14:paraId="04CC5D19" w14:textId="77777777" w:rsidR="00D12AB4" w:rsidRPr="00F15DC3" w:rsidRDefault="00D12AB4" w:rsidP="00D12AB4">
      <w:pPr>
        <w:ind w:left="720"/>
        <w:jc w:val="both"/>
        <w:rPr>
          <w:rFonts w:ascii="Arial" w:eastAsia="Times New Roman" w:hAnsi="Arial" w:cs="Arial"/>
          <w:b/>
          <w:bCs/>
          <w:color w:val="000000"/>
          <w:sz w:val="24"/>
          <w:szCs w:val="24"/>
          <w:lang w:eastAsia="en-GB"/>
        </w:rPr>
      </w:pPr>
      <w:r w:rsidRPr="00F15DC3">
        <w:rPr>
          <w:rFonts w:ascii="Arial" w:eastAsia="Times New Roman" w:hAnsi="Arial" w:cs="Arial"/>
          <w:b/>
          <w:bCs/>
          <w:color w:val="000000"/>
          <w:sz w:val="24"/>
          <w:szCs w:val="24"/>
          <w:lang w:eastAsia="en-GB"/>
        </w:rPr>
        <w:t xml:space="preserve">Procedure where </w:t>
      </w:r>
      <w:r>
        <w:rPr>
          <w:rFonts w:ascii="Arial" w:eastAsia="Times New Roman" w:hAnsi="Arial" w:cs="Arial"/>
          <w:b/>
          <w:bCs/>
          <w:color w:val="000000"/>
          <w:sz w:val="24"/>
          <w:szCs w:val="24"/>
          <w:lang w:eastAsia="en-GB"/>
        </w:rPr>
        <w:t xml:space="preserve">PRs are </w:t>
      </w:r>
      <w:r w:rsidRPr="00F15DC3">
        <w:rPr>
          <w:rFonts w:ascii="Arial" w:eastAsia="Times New Roman" w:hAnsi="Arial" w:cs="Arial"/>
          <w:b/>
          <w:bCs/>
          <w:color w:val="000000"/>
          <w:sz w:val="24"/>
          <w:szCs w:val="24"/>
          <w:lang w:eastAsia="en-GB"/>
        </w:rPr>
        <w:t>ready to finalise tax affairs</w:t>
      </w:r>
      <w:r>
        <w:rPr>
          <w:rFonts w:ascii="Arial" w:eastAsia="Times New Roman" w:hAnsi="Arial" w:cs="Arial"/>
          <w:b/>
          <w:bCs/>
          <w:color w:val="000000"/>
          <w:sz w:val="24"/>
          <w:szCs w:val="24"/>
          <w:lang w:eastAsia="en-GB"/>
        </w:rPr>
        <w:t xml:space="preserve"> within 30 days </w:t>
      </w:r>
    </w:p>
    <w:p w14:paraId="2F1C2B99" w14:textId="77777777" w:rsidR="00D12AB4" w:rsidRPr="00F15DC3" w:rsidRDefault="00D12AB4" w:rsidP="00D12AB4">
      <w:pPr>
        <w:ind w:left="720"/>
        <w:jc w:val="both"/>
        <w:rPr>
          <w:rFonts w:ascii="Arial" w:eastAsia="Times New Roman" w:hAnsi="Arial" w:cs="Arial"/>
          <w:b/>
          <w:bCs/>
          <w:color w:val="000000"/>
          <w:sz w:val="24"/>
          <w:szCs w:val="24"/>
          <w:lang w:eastAsia="en-GB"/>
        </w:rPr>
      </w:pPr>
      <w:r w:rsidRPr="00F15DC3">
        <w:rPr>
          <w:rFonts w:ascii="Arial" w:eastAsia="Times New Roman" w:hAnsi="Arial" w:cs="Arial"/>
          <w:color w:val="000000"/>
          <w:sz w:val="24"/>
          <w:szCs w:val="24"/>
          <w:lang w:eastAsia="en-GB"/>
        </w:rPr>
        <w:t xml:space="preserve">This may be done without a separate report </w:t>
      </w:r>
      <w:r>
        <w:rPr>
          <w:rFonts w:ascii="Arial" w:eastAsia="Times New Roman" w:hAnsi="Arial" w:cs="Arial"/>
          <w:color w:val="000000"/>
          <w:sz w:val="24"/>
          <w:szCs w:val="24"/>
          <w:lang w:eastAsia="en-GB"/>
        </w:rPr>
        <w:t>as part of the normal final payment procedure.</w:t>
      </w:r>
    </w:p>
    <w:p w14:paraId="66C16A2A" w14:textId="77777777" w:rsidR="00D12AB4" w:rsidRDefault="00D12AB4" w:rsidP="00D12AB4">
      <w:pPr>
        <w:numPr>
          <w:ilvl w:val="0"/>
          <w:numId w:val="5"/>
        </w:numPr>
        <w:spacing w:after="0" w:line="240" w:lineRule="auto"/>
        <w:ind w:left="1418" w:hanging="567"/>
        <w:contextualSpacing/>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w:t>
      </w:r>
      <w:r w:rsidRPr="00F15DC3">
        <w:rPr>
          <w:rFonts w:ascii="Arial" w:eastAsia="Times New Roman" w:hAnsi="Arial" w:cs="Arial"/>
          <w:color w:val="000000"/>
          <w:sz w:val="24"/>
          <w:szCs w:val="24"/>
          <w:lang w:eastAsia="en-GB"/>
        </w:rPr>
        <w:t>f the estate meets the ‘</w:t>
      </w:r>
      <w:r w:rsidRPr="006C1967">
        <w:rPr>
          <w:rFonts w:ascii="Arial" w:eastAsia="Times New Roman" w:hAnsi="Arial" w:cs="Arial"/>
          <w:i/>
          <w:iCs/>
          <w:color w:val="000000"/>
          <w:sz w:val="24"/>
          <w:szCs w:val="24"/>
          <w:lang w:eastAsia="en-GB"/>
        </w:rPr>
        <w:t>complex estate</w:t>
      </w:r>
      <w:r w:rsidRPr="00F15DC3">
        <w:rPr>
          <w:rFonts w:ascii="Arial" w:eastAsia="Times New Roman" w:hAnsi="Arial" w:cs="Arial"/>
          <w:color w:val="000000"/>
          <w:sz w:val="24"/>
          <w:szCs w:val="24"/>
          <w:lang w:eastAsia="en-GB"/>
        </w:rPr>
        <w:t>’ criteria</w:t>
      </w:r>
      <w:r>
        <w:rPr>
          <w:rFonts w:ascii="Arial" w:eastAsia="Times New Roman" w:hAnsi="Arial" w:cs="Arial"/>
          <w:color w:val="000000"/>
          <w:sz w:val="24"/>
          <w:szCs w:val="24"/>
          <w:lang w:eastAsia="en-GB"/>
        </w:rPr>
        <w:t>, c</w:t>
      </w:r>
      <w:r w:rsidRPr="00F15DC3">
        <w:rPr>
          <w:rFonts w:ascii="Arial" w:eastAsia="Times New Roman" w:hAnsi="Arial" w:cs="Arial"/>
          <w:color w:val="000000"/>
          <w:sz w:val="24"/>
          <w:szCs w:val="24"/>
          <w:lang w:eastAsia="en-GB"/>
        </w:rPr>
        <w:t xml:space="preserve">ompleting a </w:t>
      </w:r>
      <w:r>
        <w:rPr>
          <w:rFonts w:ascii="Arial" w:eastAsia="Times New Roman" w:hAnsi="Arial" w:cs="Arial"/>
          <w:color w:val="000000"/>
          <w:sz w:val="24"/>
          <w:szCs w:val="24"/>
          <w:lang w:eastAsia="en-GB"/>
        </w:rPr>
        <w:t>s</w:t>
      </w:r>
      <w:r w:rsidRPr="00F15DC3">
        <w:rPr>
          <w:rFonts w:ascii="Arial" w:eastAsia="Times New Roman" w:hAnsi="Arial" w:cs="Arial"/>
          <w:color w:val="000000"/>
          <w:sz w:val="24"/>
          <w:szCs w:val="24"/>
          <w:lang w:eastAsia="en-GB"/>
        </w:rPr>
        <w:t>elf</w:t>
      </w:r>
      <w:r>
        <w:rPr>
          <w:rFonts w:ascii="Arial" w:eastAsia="Times New Roman" w:hAnsi="Arial" w:cs="Arial"/>
          <w:color w:val="000000"/>
          <w:sz w:val="24"/>
          <w:szCs w:val="24"/>
          <w:lang w:eastAsia="en-GB"/>
        </w:rPr>
        <w:t>-a</w:t>
      </w:r>
      <w:r w:rsidRPr="00F15DC3">
        <w:rPr>
          <w:rFonts w:ascii="Arial" w:eastAsia="Times New Roman" w:hAnsi="Arial" w:cs="Arial"/>
          <w:color w:val="000000"/>
          <w:sz w:val="24"/>
          <w:szCs w:val="24"/>
          <w:lang w:eastAsia="en-GB"/>
        </w:rPr>
        <w:t xml:space="preserve">ssessment return for the </w:t>
      </w:r>
      <w:r>
        <w:rPr>
          <w:rFonts w:ascii="Arial" w:eastAsia="Times New Roman" w:hAnsi="Arial" w:cs="Arial"/>
          <w:color w:val="000000"/>
          <w:sz w:val="24"/>
          <w:szCs w:val="24"/>
          <w:lang w:eastAsia="en-GB"/>
        </w:rPr>
        <w:t xml:space="preserve">final year of the </w:t>
      </w:r>
      <w:r w:rsidRPr="00F15DC3">
        <w:rPr>
          <w:rFonts w:ascii="Arial" w:eastAsia="Times New Roman" w:hAnsi="Arial" w:cs="Arial"/>
          <w:color w:val="000000"/>
          <w:sz w:val="24"/>
          <w:szCs w:val="24"/>
          <w:lang w:eastAsia="en-GB"/>
        </w:rPr>
        <w:t>administration period</w:t>
      </w:r>
      <w:r>
        <w:rPr>
          <w:rFonts w:ascii="Arial" w:eastAsia="Times New Roman" w:hAnsi="Arial" w:cs="Arial"/>
          <w:color w:val="000000"/>
          <w:sz w:val="24"/>
          <w:szCs w:val="24"/>
          <w:lang w:eastAsia="en-GB"/>
        </w:rPr>
        <w:t>;</w:t>
      </w:r>
    </w:p>
    <w:p w14:paraId="2512C871" w14:textId="77777777" w:rsidR="00D12AB4" w:rsidRPr="00F15DC3" w:rsidRDefault="00D12AB4" w:rsidP="00D12AB4">
      <w:pPr>
        <w:spacing w:after="0" w:line="240" w:lineRule="auto"/>
        <w:ind w:left="851"/>
        <w:contextualSpacing/>
        <w:jc w:val="both"/>
        <w:rPr>
          <w:rFonts w:ascii="Arial" w:eastAsia="Times New Roman" w:hAnsi="Arial" w:cs="Arial"/>
          <w:color w:val="000000"/>
          <w:sz w:val="24"/>
          <w:szCs w:val="24"/>
          <w:lang w:eastAsia="en-GB"/>
        </w:rPr>
      </w:pPr>
    </w:p>
    <w:p w14:paraId="5CA06234" w14:textId="77777777" w:rsidR="00D12AB4" w:rsidRPr="00994671" w:rsidRDefault="00D12AB4" w:rsidP="00D12AB4">
      <w:pPr>
        <w:numPr>
          <w:ilvl w:val="0"/>
          <w:numId w:val="5"/>
        </w:numPr>
        <w:spacing w:after="0" w:line="240" w:lineRule="auto"/>
        <w:ind w:left="1418" w:hanging="567"/>
        <w:contextualSpacing/>
        <w:jc w:val="both"/>
        <w:rPr>
          <w:rFonts w:ascii="Arial" w:eastAsia="Times New Roman" w:hAnsi="Arial" w:cs="Arial"/>
          <w:b/>
          <w:bCs/>
          <w:color w:val="000000"/>
          <w:sz w:val="24"/>
          <w:szCs w:val="24"/>
          <w:lang w:eastAsia="en-GB"/>
        </w:rPr>
      </w:pPr>
      <w:r w:rsidRPr="00994671">
        <w:rPr>
          <w:rFonts w:ascii="Arial" w:eastAsia="Times New Roman" w:hAnsi="Arial" w:cs="Arial"/>
          <w:color w:val="000000"/>
          <w:sz w:val="24"/>
          <w:szCs w:val="24"/>
          <w:lang w:eastAsia="en-GB"/>
        </w:rPr>
        <w:t>If it does not meet the complex estate criteria, using the ‘</w:t>
      </w:r>
      <w:r w:rsidRPr="00994671">
        <w:rPr>
          <w:rFonts w:ascii="Arial" w:eastAsia="Times New Roman" w:hAnsi="Arial" w:cs="Arial"/>
          <w:i/>
          <w:iCs/>
          <w:color w:val="000000"/>
          <w:sz w:val="24"/>
          <w:szCs w:val="24"/>
          <w:lang w:eastAsia="en-GB"/>
        </w:rPr>
        <w:t>informal arrangements’</w:t>
      </w:r>
      <w:r w:rsidRPr="00994671">
        <w:rPr>
          <w:rFonts w:ascii="Arial" w:eastAsia="Times New Roman" w:hAnsi="Arial" w:cs="Arial"/>
          <w:color w:val="000000"/>
          <w:sz w:val="24"/>
          <w:szCs w:val="24"/>
          <w:lang w:eastAsia="en-GB"/>
        </w:rPr>
        <w:t xml:space="preserve">. </w:t>
      </w:r>
    </w:p>
    <w:p w14:paraId="0FE445DA" w14:textId="77777777" w:rsidR="00D12AB4" w:rsidRDefault="00D12AB4" w:rsidP="00D12AB4">
      <w:pPr>
        <w:spacing w:before="100" w:beforeAutospacing="1" w:after="120" w:line="240" w:lineRule="auto"/>
        <w:ind w:left="153"/>
        <w:contextualSpacing/>
        <w:jc w:val="both"/>
        <w:rPr>
          <w:rFonts w:ascii="Arial" w:eastAsia="Times New Roman" w:hAnsi="Arial" w:cs="Arial"/>
          <w:b/>
          <w:bCs/>
          <w:color w:val="000000"/>
          <w:sz w:val="24"/>
          <w:szCs w:val="24"/>
          <w:lang w:eastAsia="en-GB"/>
        </w:rPr>
      </w:pPr>
    </w:p>
    <w:p w14:paraId="43587152" w14:textId="77777777" w:rsidR="00D12AB4" w:rsidRDefault="00D12AB4" w:rsidP="00D12AB4">
      <w:pPr>
        <w:spacing w:before="100" w:beforeAutospacing="1" w:after="120" w:line="240" w:lineRule="auto"/>
        <w:ind w:left="153"/>
        <w:contextualSpacing/>
        <w:jc w:val="both"/>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ab/>
      </w:r>
      <w:r w:rsidRPr="00994671">
        <w:rPr>
          <w:rFonts w:ascii="Arial" w:eastAsia="Times New Roman" w:hAnsi="Arial" w:cs="Arial"/>
          <w:b/>
          <w:bCs/>
          <w:color w:val="000000"/>
          <w:sz w:val="24"/>
          <w:szCs w:val="24"/>
          <w:lang w:eastAsia="en-GB"/>
        </w:rPr>
        <w:t>Note:</w:t>
      </w:r>
      <w:r w:rsidRPr="00994671">
        <w:rPr>
          <w:rFonts w:ascii="Arial" w:eastAsia="Times New Roman" w:hAnsi="Arial" w:cs="Arial"/>
          <w:b/>
          <w:bCs/>
          <w:color w:val="000000"/>
          <w:sz w:val="24"/>
          <w:szCs w:val="24"/>
          <w:lang w:eastAsia="en-GB"/>
        </w:rPr>
        <w:tab/>
        <w:t>When is an estate complex?</w:t>
      </w:r>
    </w:p>
    <w:p w14:paraId="33002850" w14:textId="77777777" w:rsidR="00D12AB4" w:rsidRDefault="00D12AB4" w:rsidP="00D12AB4">
      <w:pPr>
        <w:spacing w:after="0" w:line="240" w:lineRule="auto"/>
        <w:ind w:left="153"/>
        <w:contextualSpacing/>
        <w:jc w:val="both"/>
        <w:rPr>
          <w:rFonts w:ascii="Arial" w:eastAsia="Times New Roman" w:hAnsi="Arial" w:cs="Arial"/>
          <w:b/>
          <w:bCs/>
          <w:color w:val="000000"/>
          <w:sz w:val="24"/>
          <w:szCs w:val="24"/>
          <w:lang w:eastAsia="en-GB"/>
        </w:rPr>
      </w:pPr>
    </w:p>
    <w:p w14:paraId="28175084" w14:textId="77777777" w:rsidR="00D12AB4" w:rsidRPr="00994671" w:rsidRDefault="00D12AB4" w:rsidP="00D12AB4">
      <w:pPr>
        <w:spacing w:before="120" w:after="100" w:afterAutospacing="1" w:line="240" w:lineRule="auto"/>
        <w:ind w:left="1440"/>
        <w:contextualSpacing/>
        <w:jc w:val="both"/>
        <w:rPr>
          <w:rFonts w:ascii="Arial" w:eastAsia="Times New Roman" w:hAnsi="Arial" w:cs="Arial"/>
          <w:b/>
          <w:bCs/>
          <w:color w:val="000000"/>
          <w:sz w:val="24"/>
          <w:szCs w:val="24"/>
          <w:lang w:eastAsia="en-GB"/>
        </w:rPr>
      </w:pPr>
      <w:r w:rsidRPr="00F15DC3">
        <w:rPr>
          <w:rFonts w:ascii="Arial" w:eastAsia="Times New Roman" w:hAnsi="Arial" w:cs="Arial"/>
          <w:color w:val="000000"/>
          <w:sz w:val="24"/>
          <w:szCs w:val="24"/>
          <w:lang w:eastAsia="en-GB"/>
        </w:rPr>
        <w:t>Complex estates are those where:</w:t>
      </w:r>
    </w:p>
    <w:p w14:paraId="2178AE6C" w14:textId="77777777" w:rsidR="00D12AB4" w:rsidRPr="00062A65" w:rsidRDefault="00D12AB4" w:rsidP="00D12AB4">
      <w:pPr>
        <w:pStyle w:val="ListParagraph"/>
        <w:numPr>
          <w:ilvl w:val="0"/>
          <w:numId w:val="16"/>
        </w:numPr>
        <w:spacing w:before="100" w:beforeAutospacing="1" w:after="100" w:afterAutospacing="1" w:line="240" w:lineRule="auto"/>
        <w:jc w:val="both"/>
        <w:rPr>
          <w:rFonts w:ascii="Arial" w:eastAsia="Times New Roman" w:hAnsi="Arial" w:cs="Arial"/>
          <w:color w:val="000000"/>
          <w:sz w:val="24"/>
          <w:szCs w:val="24"/>
          <w:lang w:eastAsia="en-GB"/>
        </w:rPr>
      </w:pPr>
      <w:r w:rsidRPr="00062A65">
        <w:rPr>
          <w:rFonts w:ascii="Arial" w:eastAsia="Times New Roman" w:hAnsi="Arial" w:cs="Arial"/>
          <w:color w:val="000000"/>
          <w:sz w:val="24"/>
          <w:szCs w:val="24"/>
          <w:lang w:eastAsia="en-GB"/>
        </w:rPr>
        <w:t>the probate value of the estate is more than £2.5 million</w:t>
      </w:r>
    </w:p>
    <w:p w14:paraId="2DC8303D" w14:textId="77777777" w:rsidR="00D12AB4" w:rsidRDefault="00D12AB4" w:rsidP="00D12AB4">
      <w:pPr>
        <w:pStyle w:val="ListParagraph"/>
        <w:spacing w:before="100" w:beforeAutospacing="1" w:after="100" w:afterAutospacing="1" w:line="240" w:lineRule="auto"/>
        <w:ind w:left="1800"/>
        <w:jc w:val="both"/>
        <w:rPr>
          <w:rFonts w:ascii="Arial" w:eastAsia="Times New Roman" w:hAnsi="Arial" w:cs="Arial"/>
          <w:color w:val="000000"/>
          <w:sz w:val="24"/>
          <w:szCs w:val="24"/>
          <w:lang w:eastAsia="en-GB"/>
        </w:rPr>
      </w:pPr>
    </w:p>
    <w:p w14:paraId="73EF672E" w14:textId="77777777" w:rsidR="00D12AB4" w:rsidRDefault="00D12AB4" w:rsidP="00D12AB4">
      <w:pPr>
        <w:pStyle w:val="ListParagraph"/>
        <w:numPr>
          <w:ilvl w:val="0"/>
          <w:numId w:val="16"/>
        </w:numPr>
        <w:spacing w:before="100" w:beforeAutospacing="1" w:after="100" w:afterAutospacing="1" w:line="240" w:lineRule="auto"/>
        <w:jc w:val="both"/>
        <w:rPr>
          <w:rFonts w:ascii="Arial" w:eastAsia="Times New Roman" w:hAnsi="Arial" w:cs="Arial"/>
          <w:color w:val="000000"/>
          <w:sz w:val="24"/>
          <w:szCs w:val="24"/>
          <w:lang w:eastAsia="en-GB"/>
        </w:rPr>
      </w:pPr>
      <w:r w:rsidRPr="00062A65">
        <w:rPr>
          <w:rFonts w:ascii="Arial" w:eastAsia="Times New Roman" w:hAnsi="Arial" w:cs="Arial"/>
          <w:color w:val="000000"/>
          <w:sz w:val="24"/>
          <w:szCs w:val="24"/>
          <w:lang w:eastAsia="en-GB"/>
        </w:rPr>
        <w:t>income Tax and, or CGT for the whole of the administration period exceeds £10,000</w:t>
      </w:r>
    </w:p>
    <w:p w14:paraId="42563371" w14:textId="77777777" w:rsidR="00D12AB4" w:rsidRPr="00994671" w:rsidRDefault="00D12AB4" w:rsidP="00D12AB4">
      <w:pPr>
        <w:pStyle w:val="ListParagraph"/>
        <w:rPr>
          <w:rFonts w:ascii="Arial" w:eastAsia="Times New Roman" w:hAnsi="Arial" w:cs="Arial"/>
          <w:color w:val="000000"/>
          <w:sz w:val="24"/>
          <w:szCs w:val="24"/>
          <w:lang w:eastAsia="en-GB"/>
        </w:rPr>
      </w:pPr>
    </w:p>
    <w:p w14:paraId="000046E7" w14:textId="77777777" w:rsidR="00D12AB4" w:rsidRPr="00994671" w:rsidRDefault="00D12AB4" w:rsidP="00D12AB4">
      <w:pPr>
        <w:pStyle w:val="ListParagraph"/>
        <w:numPr>
          <w:ilvl w:val="0"/>
          <w:numId w:val="16"/>
        </w:numPr>
        <w:spacing w:before="100" w:beforeAutospacing="1" w:after="100" w:afterAutospacing="1" w:line="240" w:lineRule="auto"/>
        <w:ind w:left="1797" w:hanging="357"/>
        <w:jc w:val="both"/>
        <w:rPr>
          <w:rFonts w:ascii="Arial" w:eastAsia="Times New Roman" w:hAnsi="Arial" w:cs="Arial"/>
          <w:color w:val="000000"/>
          <w:sz w:val="24"/>
          <w:szCs w:val="24"/>
          <w:lang w:eastAsia="en-GB"/>
        </w:rPr>
      </w:pPr>
      <w:r w:rsidRPr="00994671">
        <w:rPr>
          <w:rFonts w:ascii="Arial" w:eastAsia="Times New Roman" w:hAnsi="Arial" w:cs="Arial"/>
          <w:color w:val="000000"/>
          <w:sz w:val="24"/>
          <w:szCs w:val="24"/>
          <w:lang w:eastAsia="en-GB"/>
        </w:rPr>
        <w:t>the proceeds of assets sold by the personal representative in any one tax year exceeds £500,000 for date of deaths after 5 April 2016 (£250,000 for earlier deaths).</w:t>
      </w:r>
    </w:p>
    <w:p w14:paraId="25ACBF05" w14:textId="78CE19A2" w:rsidR="00D12AB4" w:rsidRDefault="00D12AB4" w:rsidP="00D12AB4">
      <w:pPr>
        <w:spacing w:before="100" w:beforeAutospacing="1" w:after="100" w:afterAutospacing="1" w:line="240" w:lineRule="auto"/>
        <w:contextualSpacing/>
        <w:jc w:val="both"/>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1.4</w:t>
      </w:r>
      <w:r>
        <w:rPr>
          <w:rFonts w:ascii="Arial" w:eastAsia="Times New Roman" w:hAnsi="Arial" w:cs="Arial"/>
          <w:b/>
          <w:bCs/>
          <w:color w:val="000000"/>
          <w:sz w:val="24"/>
          <w:szCs w:val="24"/>
          <w:lang w:eastAsia="en-GB"/>
        </w:rPr>
        <w:tab/>
        <w:t>Penalties</w:t>
      </w:r>
    </w:p>
    <w:p w14:paraId="6F28F802" w14:textId="77777777" w:rsidR="00D12AB4" w:rsidRDefault="00D12AB4" w:rsidP="00D12AB4">
      <w:pPr>
        <w:spacing w:before="100" w:beforeAutospacing="1" w:after="100" w:afterAutospacing="1" w:line="240" w:lineRule="auto"/>
        <w:contextualSpacing/>
        <w:jc w:val="both"/>
        <w:rPr>
          <w:rFonts w:ascii="Arial" w:eastAsia="Times New Roman" w:hAnsi="Arial" w:cs="Arial"/>
          <w:color w:val="000000"/>
          <w:sz w:val="24"/>
          <w:szCs w:val="24"/>
          <w:lang w:eastAsia="en-GB"/>
        </w:rPr>
      </w:pPr>
    </w:p>
    <w:p w14:paraId="11BF6083" w14:textId="77777777" w:rsidR="00D12AB4" w:rsidRDefault="00D12AB4" w:rsidP="00D12AB4">
      <w:pPr>
        <w:spacing w:before="100" w:beforeAutospacing="1" w:after="100" w:afterAutospacing="1" w:line="240" w:lineRule="auto"/>
        <w:contextualSpacing/>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sidRPr="0097220F">
        <w:rPr>
          <w:rFonts w:ascii="Arial" w:eastAsia="Times New Roman" w:hAnsi="Arial" w:cs="Arial"/>
          <w:color w:val="000000"/>
          <w:sz w:val="24"/>
          <w:szCs w:val="24"/>
          <w:lang w:eastAsia="en-GB"/>
        </w:rPr>
        <w:t xml:space="preserve">Due to coronavirus (Covid-19) HMRC did not issue late penalties to any </w:t>
      </w:r>
      <w:r>
        <w:rPr>
          <w:rFonts w:ascii="Arial" w:eastAsia="Times New Roman" w:hAnsi="Arial" w:cs="Arial"/>
          <w:color w:val="000000"/>
          <w:sz w:val="24"/>
          <w:szCs w:val="24"/>
          <w:lang w:eastAsia="en-GB"/>
        </w:rPr>
        <w:tab/>
      </w:r>
      <w:r w:rsidRPr="0097220F">
        <w:rPr>
          <w:rFonts w:ascii="Arial" w:eastAsia="Times New Roman" w:hAnsi="Arial" w:cs="Arial"/>
          <w:color w:val="000000"/>
          <w:sz w:val="24"/>
          <w:szCs w:val="24"/>
          <w:lang w:eastAsia="en-GB"/>
        </w:rPr>
        <w:t xml:space="preserve">transactions completed between 6 April and 30 June 2020, provided the </w:t>
      </w:r>
      <w:r>
        <w:rPr>
          <w:rFonts w:ascii="Arial" w:eastAsia="Times New Roman" w:hAnsi="Arial" w:cs="Arial"/>
          <w:color w:val="000000"/>
          <w:sz w:val="24"/>
          <w:szCs w:val="24"/>
          <w:lang w:eastAsia="en-GB"/>
        </w:rPr>
        <w:tab/>
      </w:r>
      <w:r w:rsidRPr="0097220F">
        <w:rPr>
          <w:rFonts w:ascii="Arial" w:eastAsia="Times New Roman" w:hAnsi="Arial" w:cs="Arial"/>
          <w:color w:val="000000"/>
          <w:sz w:val="24"/>
          <w:szCs w:val="24"/>
          <w:lang w:eastAsia="en-GB"/>
        </w:rPr>
        <w:t>gain was reported and any tax due paid by 31 July 2020.</w:t>
      </w:r>
      <w:r w:rsidRPr="00B93CCA">
        <w:t xml:space="preserve"> </w:t>
      </w:r>
    </w:p>
    <w:p w14:paraId="75E637C3" w14:textId="77777777" w:rsidR="00D12AB4" w:rsidRDefault="00D12AB4" w:rsidP="00D12AB4">
      <w:pPr>
        <w:spacing w:before="100" w:beforeAutospacing="1" w:after="100" w:afterAutospacing="1" w:line="240" w:lineRule="auto"/>
        <w:contextualSpacing/>
        <w:jc w:val="both"/>
        <w:rPr>
          <w:rFonts w:ascii="Arial" w:eastAsia="Times New Roman" w:hAnsi="Arial" w:cs="Arial"/>
          <w:color w:val="000000"/>
          <w:sz w:val="24"/>
          <w:szCs w:val="24"/>
          <w:lang w:eastAsia="en-GB"/>
        </w:rPr>
      </w:pPr>
    </w:p>
    <w:p w14:paraId="1BF61A32" w14:textId="77777777" w:rsidR="00D12AB4" w:rsidRDefault="00D12AB4" w:rsidP="00D12AB4">
      <w:pPr>
        <w:spacing w:before="100" w:beforeAutospacing="1" w:after="100" w:afterAutospacing="1" w:line="240" w:lineRule="auto"/>
        <w:ind w:left="720"/>
        <w:contextualSpacing/>
        <w:jc w:val="both"/>
        <w:rPr>
          <w:rFonts w:ascii="Arial" w:eastAsia="Times New Roman" w:hAnsi="Arial" w:cs="Arial"/>
          <w:color w:val="000000"/>
          <w:sz w:val="24"/>
          <w:szCs w:val="24"/>
          <w:lang w:eastAsia="en-GB"/>
        </w:rPr>
      </w:pPr>
      <w:r w:rsidRPr="00B93CCA">
        <w:rPr>
          <w:rFonts w:ascii="Arial" w:eastAsia="Times New Roman" w:hAnsi="Arial" w:cs="Arial"/>
          <w:color w:val="000000"/>
          <w:sz w:val="24"/>
          <w:szCs w:val="24"/>
          <w:lang w:eastAsia="en-GB"/>
        </w:rPr>
        <w:t>Transactions completed from 1 July 2020 will receive a late filing penalty if they are not reported within 30 calendar days.</w:t>
      </w:r>
      <w:r>
        <w:rPr>
          <w:rFonts w:ascii="Arial" w:eastAsia="Times New Roman" w:hAnsi="Arial" w:cs="Arial"/>
          <w:color w:val="000000"/>
          <w:sz w:val="24"/>
          <w:szCs w:val="24"/>
          <w:lang w:eastAsia="en-GB"/>
        </w:rPr>
        <w:t xml:space="preserve"> </w:t>
      </w:r>
      <w:r w:rsidRPr="00B93CCA">
        <w:rPr>
          <w:rFonts w:ascii="Arial" w:eastAsia="Times New Roman" w:hAnsi="Arial" w:cs="Arial"/>
          <w:color w:val="000000"/>
          <w:sz w:val="24"/>
          <w:szCs w:val="24"/>
          <w:lang w:eastAsia="en-GB"/>
        </w:rPr>
        <w:t>Interest will be charged if the tax remains unpaid after 30 days for all transactions from 6 April 2020.</w:t>
      </w:r>
    </w:p>
    <w:p w14:paraId="4B57A86F" w14:textId="357F3CFF" w:rsidR="00D12AB4" w:rsidRPr="00630ABD" w:rsidRDefault="00D12AB4" w:rsidP="00D12AB4">
      <w:pPr>
        <w:spacing w:before="100" w:beforeAutospacing="1" w:after="100" w:afterAutospacing="1" w:line="240" w:lineRule="auto"/>
        <w:jc w:val="both"/>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1</w:t>
      </w:r>
      <w:r w:rsidRPr="00630ABD">
        <w:rPr>
          <w:rFonts w:ascii="Arial" w:eastAsia="Times New Roman" w:hAnsi="Arial" w:cs="Arial"/>
          <w:b/>
          <w:bCs/>
          <w:color w:val="000000"/>
          <w:sz w:val="24"/>
          <w:szCs w:val="24"/>
          <w:lang w:eastAsia="en-GB"/>
        </w:rPr>
        <w:t>.</w:t>
      </w:r>
      <w:r>
        <w:rPr>
          <w:rFonts w:ascii="Arial" w:eastAsia="Times New Roman" w:hAnsi="Arial" w:cs="Arial"/>
          <w:b/>
          <w:bCs/>
          <w:color w:val="000000"/>
          <w:sz w:val="24"/>
          <w:szCs w:val="24"/>
          <w:lang w:eastAsia="en-GB"/>
        </w:rPr>
        <w:t>5</w:t>
      </w:r>
      <w:r w:rsidRPr="00630ABD">
        <w:rPr>
          <w:rFonts w:ascii="Arial" w:eastAsia="Times New Roman" w:hAnsi="Arial" w:cs="Arial"/>
          <w:b/>
          <w:bCs/>
          <w:color w:val="000000"/>
          <w:sz w:val="24"/>
          <w:szCs w:val="24"/>
          <w:lang w:eastAsia="en-GB"/>
        </w:rPr>
        <w:tab/>
        <w:t>Losses</w:t>
      </w:r>
    </w:p>
    <w:p w14:paraId="7CE593F8" w14:textId="77777777" w:rsidR="00D12AB4" w:rsidRDefault="00D12AB4" w:rsidP="00D12AB4">
      <w:pPr>
        <w:spacing w:before="100" w:beforeAutospacing="1" w:after="100" w:afterAutospacing="1" w:line="240" w:lineRule="auto"/>
        <w:ind w:left="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Returns are only required when there is a chargeable gain. However in a webinar (</w:t>
      </w:r>
      <w:r w:rsidRPr="00381BE1">
        <w:rPr>
          <w:rFonts w:ascii="Arial" w:eastAsia="Times New Roman" w:hAnsi="Arial" w:cs="Arial"/>
          <w:i/>
          <w:iCs/>
          <w:color w:val="000000"/>
          <w:sz w:val="24"/>
          <w:szCs w:val="24"/>
          <w:lang w:eastAsia="en-GB"/>
        </w:rPr>
        <w:t>Disposal of UK properties – important changes to reporting and paying CGT</w:t>
      </w:r>
      <w:r>
        <w:rPr>
          <w:rFonts w:ascii="Arial" w:eastAsia="Times New Roman" w:hAnsi="Arial" w:cs="Arial"/>
          <w:color w:val="000000"/>
          <w:sz w:val="24"/>
          <w:szCs w:val="24"/>
          <w:lang w:eastAsia="en-GB"/>
        </w:rPr>
        <w:t xml:space="preserve"> </w:t>
      </w:r>
      <w:hyperlink r:id="rId11" w:history="1">
        <w:r w:rsidRPr="000767E0">
          <w:rPr>
            <w:rStyle w:val="Hyperlink"/>
            <w:rFonts w:ascii="Arial" w:eastAsia="Times New Roman" w:hAnsi="Arial" w:cs="Arial"/>
            <w:sz w:val="24"/>
            <w:szCs w:val="24"/>
            <w:lang w:eastAsia="en-GB"/>
          </w:rPr>
          <w:t>https://attendee.gotowebinar.com/recording/7889812172052289799</w:t>
        </w:r>
      </w:hyperlink>
      <w:r>
        <w:rPr>
          <w:rFonts w:ascii="Arial" w:eastAsia="Times New Roman" w:hAnsi="Arial" w:cs="Arial"/>
          <w:color w:val="000000"/>
          <w:sz w:val="24"/>
          <w:szCs w:val="24"/>
          <w:lang w:eastAsia="en-GB"/>
        </w:rPr>
        <w:t xml:space="preserve">), HMRC said that if a disposal results in a loss, the taxpayer can submit a voluntary report in order to recover tax paid on an earlier disposal. </w:t>
      </w:r>
    </w:p>
    <w:p w14:paraId="0E6A95A5" w14:textId="77777777" w:rsidR="00D12AB4" w:rsidRDefault="00D12AB4" w:rsidP="00D12AB4">
      <w:pPr>
        <w:spacing w:before="100" w:beforeAutospacing="1" w:after="100" w:afterAutospacing="1" w:line="240" w:lineRule="auto"/>
        <w:jc w:val="both"/>
        <w:rPr>
          <w:rFonts w:ascii="Arial" w:eastAsia="Times New Roman" w:hAnsi="Arial" w:cs="Arial"/>
          <w:color w:val="000000"/>
          <w:sz w:val="24"/>
          <w:szCs w:val="24"/>
          <w:lang w:eastAsia="en-GB"/>
        </w:rPr>
      </w:pPr>
      <w:r w:rsidRPr="006C1967">
        <w:rPr>
          <w:rFonts w:ascii="Arial" w:eastAsia="Times New Roman" w:hAnsi="Arial" w:cs="Arial"/>
          <w:b/>
          <w:bCs/>
          <w:color w:val="000000"/>
          <w:sz w:val="24"/>
          <w:szCs w:val="24"/>
          <w:lang w:eastAsia="en-GB"/>
        </w:rPr>
        <w:t>Comment:</w:t>
      </w:r>
      <w:r>
        <w:rPr>
          <w:rFonts w:ascii="Arial" w:eastAsia="Times New Roman" w:hAnsi="Arial" w:cs="Arial"/>
          <w:color w:val="000000"/>
          <w:sz w:val="24"/>
          <w:szCs w:val="24"/>
          <w:lang w:eastAsia="en-GB"/>
        </w:rPr>
        <w:tab/>
        <w:t>Yet another complication for taxpayers and their advisers.</w:t>
      </w:r>
    </w:p>
    <w:bookmarkEnd w:id="5"/>
    <w:p w14:paraId="50D00161" w14:textId="77777777" w:rsidR="00D12AB4" w:rsidRPr="009807EF" w:rsidRDefault="00D12AB4" w:rsidP="00D12AB4">
      <w:pPr>
        <w:spacing w:before="100" w:beforeAutospacing="1" w:after="100" w:afterAutospacing="1" w:line="240" w:lineRule="auto"/>
        <w:jc w:val="both"/>
        <w:rPr>
          <w:rFonts w:ascii="Arial" w:hAnsi="Arial" w:cs="Arial"/>
          <w:b/>
          <w:bCs/>
          <w:sz w:val="24"/>
          <w:szCs w:val="24"/>
        </w:rPr>
      </w:pPr>
      <w:r w:rsidRPr="009807EF">
        <w:rPr>
          <w:rFonts w:ascii="Arial" w:hAnsi="Arial" w:cs="Arial"/>
          <w:b/>
          <w:bCs/>
          <w:sz w:val="24"/>
          <w:szCs w:val="24"/>
        </w:rPr>
        <w:lastRenderedPageBreak/>
        <w:t>2.1</w:t>
      </w:r>
      <w:r w:rsidRPr="009807EF">
        <w:rPr>
          <w:rFonts w:ascii="Arial" w:hAnsi="Arial" w:cs="Arial"/>
          <w:b/>
          <w:bCs/>
          <w:sz w:val="24"/>
          <w:szCs w:val="24"/>
        </w:rPr>
        <w:tab/>
      </w:r>
      <w:r w:rsidRPr="009807EF">
        <w:rPr>
          <w:rFonts w:ascii="Arial" w:hAnsi="Arial" w:cs="Arial"/>
          <w:b/>
          <w:bCs/>
          <w:i/>
          <w:iCs/>
          <w:sz w:val="24"/>
          <w:szCs w:val="24"/>
        </w:rPr>
        <w:t>Trusts and Estates Newsletter</w:t>
      </w:r>
      <w:r w:rsidRPr="009807EF">
        <w:rPr>
          <w:rFonts w:ascii="Arial" w:hAnsi="Arial" w:cs="Arial"/>
          <w:b/>
          <w:bCs/>
          <w:sz w:val="24"/>
          <w:szCs w:val="24"/>
        </w:rPr>
        <w:t xml:space="preserve"> June 2020 announced the following:</w:t>
      </w:r>
    </w:p>
    <w:p w14:paraId="56D1BF2D" w14:textId="77777777" w:rsidR="00D12AB4" w:rsidRPr="00517984" w:rsidRDefault="00D12AB4" w:rsidP="00D12AB4">
      <w:pPr>
        <w:pStyle w:val="ListParagraph"/>
        <w:numPr>
          <w:ilvl w:val="0"/>
          <w:numId w:val="8"/>
        </w:numPr>
        <w:spacing w:before="100" w:beforeAutospacing="1" w:after="100" w:afterAutospacing="1" w:line="240" w:lineRule="auto"/>
        <w:ind w:hanging="731"/>
        <w:jc w:val="both"/>
        <w:rPr>
          <w:rFonts w:ascii="Arial" w:hAnsi="Arial" w:cs="Arial"/>
          <w:b/>
          <w:bCs/>
          <w:sz w:val="24"/>
          <w:szCs w:val="24"/>
        </w:rPr>
      </w:pPr>
      <w:r w:rsidRPr="00517984">
        <w:rPr>
          <w:rFonts w:ascii="Arial" w:hAnsi="Arial" w:cs="Arial"/>
          <w:b/>
          <w:bCs/>
          <w:sz w:val="24"/>
          <w:szCs w:val="24"/>
        </w:rPr>
        <w:t>Wet signatures on accounts and returns</w:t>
      </w:r>
    </w:p>
    <w:p w14:paraId="47A0127D" w14:textId="77777777" w:rsidR="00D12AB4" w:rsidRPr="00FA4807" w:rsidRDefault="00D12AB4" w:rsidP="00D12AB4">
      <w:pPr>
        <w:spacing w:before="100" w:beforeAutospacing="1" w:after="100" w:afterAutospacing="1" w:line="240" w:lineRule="auto"/>
        <w:ind w:left="1440"/>
        <w:jc w:val="both"/>
        <w:rPr>
          <w:rFonts w:ascii="Arial" w:hAnsi="Arial" w:cs="Arial"/>
          <w:i/>
          <w:iCs/>
          <w:sz w:val="24"/>
          <w:szCs w:val="24"/>
        </w:rPr>
      </w:pPr>
      <w:r w:rsidRPr="00FA4807">
        <w:rPr>
          <w:rFonts w:ascii="Arial" w:hAnsi="Arial" w:cs="Arial"/>
          <w:i/>
          <w:iCs/>
          <w:sz w:val="24"/>
          <w:szCs w:val="24"/>
        </w:rPr>
        <w:t>We recognise that it’s difficult for personal representatives or trustees to physically sign forms IHT400, IHT100 and IHT205 with current social-distancing measures in place.</w:t>
      </w:r>
    </w:p>
    <w:p w14:paraId="62F229E3" w14:textId="77777777" w:rsidR="00D12AB4" w:rsidRPr="00FA4807" w:rsidRDefault="00D12AB4" w:rsidP="00D12AB4">
      <w:pPr>
        <w:spacing w:before="100" w:beforeAutospacing="1" w:after="100" w:afterAutospacing="1" w:line="240" w:lineRule="auto"/>
        <w:ind w:left="1440"/>
        <w:jc w:val="both"/>
        <w:rPr>
          <w:rFonts w:ascii="Arial" w:hAnsi="Arial" w:cs="Arial"/>
          <w:i/>
          <w:iCs/>
          <w:sz w:val="24"/>
          <w:szCs w:val="24"/>
        </w:rPr>
      </w:pPr>
      <w:r w:rsidRPr="00FA4807">
        <w:rPr>
          <w:rFonts w:ascii="Arial" w:hAnsi="Arial" w:cs="Arial"/>
          <w:i/>
          <w:iCs/>
          <w:sz w:val="24"/>
          <w:szCs w:val="24"/>
        </w:rPr>
        <w:t>To help customers, we’ve agreed a new temporary process. Until further notice we’ll accept accounts and returns without wet signatures from professional agents if:</w:t>
      </w:r>
    </w:p>
    <w:p w14:paraId="7F3DD98E" w14:textId="77777777" w:rsidR="00D12AB4" w:rsidRPr="00FA4807" w:rsidRDefault="00D12AB4" w:rsidP="00D12AB4">
      <w:pPr>
        <w:pStyle w:val="ListParagraph"/>
        <w:numPr>
          <w:ilvl w:val="0"/>
          <w:numId w:val="9"/>
        </w:numPr>
        <w:spacing w:before="100" w:beforeAutospacing="1" w:after="100" w:afterAutospacing="1" w:line="240" w:lineRule="auto"/>
        <w:jc w:val="both"/>
        <w:rPr>
          <w:rFonts w:ascii="Arial" w:hAnsi="Arial" w:cs="Arial"/>
          <w:i/>
          <w:iCs/>
          <w:sz w:val="24"/>
          <w:szCs w:val="24"/>
        </w:rPr>
      </w:pPr>
      <w:r w:rsidRPr="00FA4807">
        <w:rPr>
          <w:rFonts w:ascii="Arial" w:hAnsi="Arial" w:cs="Arial"/>
          <w:i/>
          <w:iCs/>
          <w:sz w:val="24"/>
          <w:szCs w:val="24"/>
        </w:rPr>
        <w:t>the names and personal details of the personal representatives or trustees are shown on the declaration page</w:t>
      </w:r>
    </w:p>
    <w:p w14:paraId="02D0129A" w14:textId="77777777" w:rsidR="00D12AB4" w:rsidRPr="00FA4807" w:rsidRDefault="00D12AB4" w:rsidP="00D12AB4">
      <w:pPr>
        <w:pStyle w:val="ListParagraph"/>
        <w:spacing w:before="100" w:beforeAutospacing="1" w:after="100" w:afterAutospacing="1" w:line="240" w:lineRule="auto"/>
        <w:ind w:left="1800"/>
        <w:jc w:val="both"/>
        <w:rPr>
          <w:rFonts w:ascii="Arial" w:hAnsi="Arial" w:cs="Arial"/>
          <w:i/>
          <w:iCs/>
          <w:sz w:val="24"/>
          <w:szCs w:val="24"/>
        </w:rPr>
      </w:pPr>
    </w:p>
    <w:p w14:paraId="036654B9" w14:textId="77777777" w:rsidR="00D12AB4" w:rsidRPr="00FA4807" w:rsidRDefault="00D12AB4" w:rsidP="00D12AB4">
      <w:pPr>
        <w:pStyle w:val="ListParagraph"/>
        <w:numPr>
          <w:ilvl w:val="0"/>
          <w:numId w:val="9"/>
        </w:numPr>
        <w:spacing w:before="100" w:beforeAutospacing="1" w:after="100" w:afterAutospacing="1" w:line="240" w:lineRule="auto"/>
        <w:jc w:val="both"/>
        <w:rPr>
          <w:rFonts w:ascii="Arial" w:hAnsi="Arial" w:cs="Arial"/>
          <w:i/>
          <w:iCs/>
          <w:sz w:val="24"/>
          <w:szCs w:val="24"/>
        </w:rPr>
      </w:pPr>
      <w:r w:rsidRPr="00FA4807">
        <w:rPr>
          <w:rFonts w:ascii="Arial" w:hAnsi="Arial" w:cs="Arial"/>
          <w:i/>
          <w:iCs/>
          <w:sz w:val="24"/>
          <w:szCs w:val="24"/>
        </w:rPr>
        <w:t>the account has been seen by all the personal representatives or trustees and they all agree to be bound by the declaration.</w:t>
      </w:r>
    </w:p>
    <w:p w14:paraId="07CCE839" w14:textId="77777777" w:rsidR="00D12AB4" w:rsidRPr="00FA4807" w:rsidRDefault="00D12AB4" w:rsidP="00D12AB4">
      <w:pPr>
        <w:spacing w:before="100" w:beforeAutospacing="1" w:after="100" w:afterAutospacing="1" w:line="240" w:lineRule="auto"/>
        <w:ind w:left="1440"/>
        <w:jc w:val="both"/>
        <w:rPr>
          <w:rFonts w:ascii="Arial" w:hAnsi="Arial" w:cs="Arial"/>
          <w:i/>
          <w:iCs/>
          <w:sz w:val="24"/>
          <w:szCs w:val="24"/>
        </w:rPr>
      </w:pPr>
      <w:r w:rsidRPr="00FA4807">
        <w:rPr>
          <w:rFonts w:ascii="Arial" w:hAnsi="Arial" w:cs="Arial"/>
          <w:i/>
          <w:iCs/>
          <w:sz w:val="24"/>
          <w:szCs w:val="24"/>
        </w:rPr>
        <w:t>The agent must include one of the following statements:</w:t>
      </w:r>
    </w:p>
    <w:p w14:paraId="5AF580DA" w14:textId="77777777" w:rsidR="00D12AB4" w:rsidRPr="00FA4807" w:rsidRDefault="00D12AB4" w:rsidP="00D12AB4">
      <w:pPr>
        <w:spacing w:before="100" w:beforeAutospacing="1" w:after="100" w:afterAutospacing="1" w:line="240" w:lineRule="auto"/>
        <w:ind w:left="1440"/>
        <w:jc w:val="both"/>
        <w:rPr>
          <w:rFonts w:ascii="Arial" w:hAnsi="Arial" w:cs="Arial"/>
          <w:b/>
          <w:bCs/>
          <w:i/>
          <w:iCs/>
          <w:sz w:val="24"/>
          <w:szCs w:val="24"/>
        </w:rPr>
      </w:pPr>
      <w:r w:rsidRPr="00FA4807">
        <w:rPr>
          <w:rFonts w:ascii="Arial" w:hAnsi="Arial" w:cs="Arial"/>
          <w:b/>
          <w:bCs/>
          <w:i/>
          <w:iCs/>
          <w:sz w:val="24"/>
          <w:szCs w:val="24"/>
        </w:rPr>
        <w:t>Form</w:t>
      </w:r>
      <w:r w:rsidRPr="00FA4807">
        <w:rPr>
          <w:rFonts w:ascii="Arial" w:hAnsi="Arial" w:cs="Arial"/>
          <w:b/>
          <w:bCs/>
          <w:i/>
          <w:iCs/>
          <w:sz w:val="24"/>
          <w:szCs w:val="24"/>
        </w:rPr>
        <w:tab/>
      </w:r>
      <w:r w:rsidRPr="00FA4807">
        <w:rPr>
          <w:rFonts w:ascii="Arial" w:hAnsi="Arial" w:cs="Arial"/>
          <w:i/>
          <w:iCs/>
          <w:sz w:val="24"/>
          <w:szCs w:val="24"/>
        </w:rPr>
        <w:tab/>
      </w:r>
      <w:r w:rsidRPr="00FA4807">
        <w:rPr>
          <w:rFonts w:ascii="Arial" w:hAnsi="Arial" w:cs="Arial"/>
          <w:b/>
          <w:bCs/>
          <w:i/>
          <w:iCs/>
          <w:sz w:val="24"/>
          <w:szCs w:val="24"/>
        </w:rPr>
        <w:t>Statement</w:t>
      </w:r>
    </w:p>
    <w:p w14:paraId="175D17F2" w14:textId="77777777" w:rsidR="00D12AB4" w:rsidRPr="00FA4807" w:rsidRDefault="00D12AB4" w:rsidP="00D12AB4">
      <w:pPr>
        <w:spacing w:before="100" w:beforeAutospacing="1" w:after="100" w:afterAutospacing="1" w:line="240" w:lineRule="auto"/>
        <w:ind w:left="1440"/>
        <w:jc w:val="both"/>
        <w:rPr>
          <w:rFonts w:ascii="Arial" w:hAnsi="Arial" w:cs="Arial"/>
          <w:i/>
          <w:iCs/>
          <w:sz w:val="24"/>
          <w:szCs w:val="24"/>
        </w:rPr>
      </w:pPr>
      <w:r w:rsidRPr="00FA4807">
        <w:rPr>
          <w:rFonts w:ascii="Arial" w:hAnsi="Arial" w:cs="Arial"/>
          <w:i/>
          <w:iCs/>
          <w:sz w:val="24"/>
          <w:szCs w:val="24"/>
        </w:rPr>
        <w:t>IHT100</w:t>
      </w:r>
      <w:r w:rsidRPr="00FA4807">
        <w:rPr>
          <w:rFonts w:ascii="Arial" w:hAnsi="Arial" w:cs="Arial"/>
          <w:i/>
          <w:iCs/>
          <w:sz w:val="24"/>
          <w:szCs w:val="24"/>
        </w:rPr>
        <w:tab/>
        <w:t xml:space="preserve">As the agent acting on their behalf, I confirm that all the </w:t>
      </w:r>
      <w:r w:rsidRPr="00FA4807">
        <w:rPr>
          <w:rFonts w:ascii="Arial" w:hAnsi="Arial" w:cs="Arial"/>
          <w:i/>
          <w:iCs/>
          <w:sz w:val="24"/>
          <w:szCs w:val="24"/>
        </w:rPr>
        <w:tab/>
      </w:r>
      <w:r w:rsidRPr="00FA4807">
        <w:rPr>
          <w:rFonts w:ascii="Arial" w:hAnsi="Arial" w:cs="Arial"/>
          <w:i/>
          <w:iCs/>
          <w:sz w:val="24"/>
          <w:szCs w:val="24"/>
        </w:rPr>
        <w:tab/>
        <w:t xml:space="preserve">people whose names appear on the declaration page of </w:t>
      </w:r>
      <w:r w:rsidRPr="00FA4807">
        <w:rPr>
          <w:rFonts w:ascii="Arial" w:hAnsi="Arial" w:cs="Arial"/>
          <w:i/>
          <w:iCs/>
          <w:sz w:val="24"/>
          <w:szCs w:val="24"/>
        </w:rPr>
        <w:tab/>
      </w:r>
      <w:r w:rsidRPr="00FA4807">
        <w:rPr>
          <w:rFonts w:ascii="Arial" w:hAnsi="Arial" w:cs="Arial"/>
          <w:i/>
          <w:iCs/>
          <w:sz w:val="24"/>
          <w:szCs w:val="24"/>
        </w:rPr>
        <w:tab/>
        <w:t xml:space="preserve">this IHT100 have seen the IHT100 and agreed to be bound </w:t>
      </w:r>
      <w:r w:rsidRPr="00FA4807">
        <w:rPr>
          <w:rFonts w:ascii="Arial" w:hAnsi="Arial" w:cs="Arial"/>
          <w:i/>
          <w:iCs/>
          <w:sz w:val="24"/>
          <w:szCs w:val="24"/>
        </w:rPr>
        <w:tab/>
      </w:r>
      <w:r w:rsidRPr="00FA4807">
        <w:rPr>
          <w:rFonts w:ascii="Arial" w:hAnsi="Arial" w:cs="Arial"/>
          <w:i/>
          <w:iCs/>
          <w:sz w:val="24"/>
          <w:szCs w:val="24"/>
        </w:rPr>
        <w:tab/>
        <w:t>by the declaration on page 8 of the IHT100.</w:t>
      </w:r>
    </w:p>
    <w:p w14:paraId="696C6F4F" w14:textId="77777777" w:rsidR="00D12AB4" w:rsidRPr="00FA4807" w:rsidRDefault="00D12AB4" w:rsidP="00D12AB4">
      <w:pPr>
        <w:spacing w:before="100" w:beforeAutospacing="1" w:after="100" w:afterAutospacing="1" w:line="240" w:lineRule="auto"/>
        <w:ind w:left="1440"/>
        <w:jc w:val="both"/>
        <w:rPr>
          <w:rFonts w:ascii="Arial" w:hAnsi="Arial" w:cs="Arial"/>
          <w:i/>
          <w:iCs/>
          <w:sz w:val="24"/>
          <w:szCs w:val="24"/>
        </w:rPr>
      </w:pPr>
      <w:r w:rsidRPr="00FA4807">
        <w:rPr>
          <w:rFonts w:ascii="Arial" w:hAnsi="Arial" w:cs="Arial"/>
          <w:i/>
          <w:iCs/>
          <w:sz w:val="24"/>
          <w:szCs w:val="24"/>
        </w:rPr>
        <w:t>IHT205</w:t>
      </w:r>
      <w:r w:rsidRPr="00FA4807">
        <w:rPr>
          <w:rFonts w:ascii="Arial" w:hAnsi="Arial" w:cs="Arial"/>
          <w:i/>
          <w:iCs/>
          <w:sz w:val="24"/>
          <w:szCs w:val="24"/>
        </w:rPr>
        <w:tab/>
        <w:t xml:space="preserve">As the agent acting on their behalf, I confirm that all the </w:t>
      </w:r>
      <w:r w:rsidRPr="00FA4807">
        <w:rPr>
          <w:rFonts w:ascii="Arial" w:hAnsi="Arial" w:cs="Arial"/>
          <w:i/>
          <w:iCs/>
          <w:sz w:val="24"/>
          <w:szCs w:val="24"/>
        </w:rPr>
        <w:tab/>
      </w:r>
      <w:r w:rsidRPr="00FA4807">
        <w:rPr>
          <w:rFonts w:ascii="Arial" w:hAnsi="Arial" w:cs="Arial"/>
          <w:i/>
          <w:iCs/>
          <w:sz w:val="24"/>
          <w:szCs w:val="24"/>
        </w:rPr>
        <w:tab/>
        <w:t xml:space="preserve">people whose names appear on the declaration page of </w:t>
      </w:r>
      <w:r w:rsidRPr="00FA4807">
        <w:rPr>
          <w:rFonts w:ascii="Arial" w:hAnsi="Arial" w:cs="Arial"/>
          <w:i/>
          <w:iCs/>
          <w:sz w:val="24"/>
          <w:szCs w:val="24"/>
        </w:rPr>
        <w:tab/>
      </w:r>
      <w:r w:rsidRPr="00FA4807">
        <w:rPr>
          <w:rFonts w:ascii="Arial" w:hAnsi="Arial" w:cs="Arial"/>
          <w:i/>
          <w:iCs/>
          <w:sz w:val="24"/>
          <w:szCs w:val="24"/>
        </w:rPr>
        <w:tab/>
        <w:t xml:space="preserve">this IHT205 have seen the IHT205 Return and agreed to </w:t>
      </w:r>
      <w:r w:rsidRPr="00FA4807">
        <w:rPr>
          <w:rFonts w:ascii="Arial" w:hAnsi="Arial" w:cs="Arial"/>
          <w:i/>
          <w:iCs/>
          <w:sz w:val="24"/>
          <w:szCs w:val="24"/>
        </w:rPr>
        <w:tab/>
      </w:r>
      <w:r w:rsidRPr="00FA4807">
        <w:rPr>
          <w:rFonts w:ascii="Arial" w:hAnsi="Arial" w:cs="Arial"/>
          <w:i/>
          <w:iCs/>
          <w:sz w:val="24"/>
          <w:szCs w:val="24"/>
        </w:rPr>
        <w:tab/>
        <w:t>be bound by the declaration on page 8 of the IHT205.</w:t>
      </w:r>
    </w:p>
    <w:p w14:paraId="7FF72614" w14:textId="77777777" w:rsidR="00D12AB4" w:rsidRDefault="00D12AB4" w:rsidP="00D12AB4">
      <w:pPr>
        <w:spacing w:before="100" w:beforeAutospacing="1" w:after="100" w:afterAutospacing="1" w:line="240" w:lineRule="auto"/>
        <w:ind w:left="1440"/>
        <w:jc w:val="both"/>
        <w:rPr>
          <w:rFonts w:ascii="Arial" w:hAnsi="Arial" w:cs="Arial"/>
          <w:i/>
          <w:iCs/>
          <w:sz w:val="24"/>
          <w:szCs w:val="24"/>
        </w:rPr>
      </w:pPr>
      <w:r w:rsidRPr="00FA4807">
        <w:rPr>
          <w:rFonts w:ascii="Arial" w:hAnsi="Arial" w:cs="Arial"/>
          <w:i/>
          <w:iCs/>
          <w:sz w:val="24"/>
          <w:szCs w:val="24"/>
        </w:rPr>
        <w:t>IHT400</w:t>
      </w:r>
      <w:r w:rsidRPr="00FA4807">
        <w:rPr>
          <w:rFonts w:ascii="Arial" w:hAnsi="Arial" w:cs="Arial"/>
          <w:i/>
          <w:iCs/>
          <w:sz w:val="24"/>
          <w:szCs w:val="24"/>
        </w:rPr>
        <w:tab/>
        <w:t xml:space="preserve">As the agent acting on their behalf, I confirm that all the </w:t>
      </w:r>
      <w:r w:rsidRPr="00FA4807">
        <w:rPr>
          <w:rFonts w:ascii="Arial" w:hAnsi="Arial" w:cs="Arial"/>
          <w:i/>
          <w:iCs/>
          <w:sz w:val="24"/>
          <w:szCs w:val="24"/>
        </w:rPr>
        <w:tab/>
      </w:r>
      <w:r w:rsidRPr="00FA4807">
        <w:rPr>
          <w:rFonts w:ascii="Arial" w:hAnsi="Arial" w:cs="Arial"/>
          <w:i/>
          <w:iCs/>
          <w:sz w:val="24"/>
          <w:szCs w:val="24"/>
        </w:rPr>
        <w:tab/>
        <w:t xml:space="preserve">people whose names appear on the declaration page of </w:t>
      </w:r>
      <w:r w:rsidRPr="00FA4807">
        <w:rPr>
          <w:rFonts w:ascii="Arial" w:hAnsi="Arial" w:cs="Arial"/>
          <w:i/>
          <w:iCs/>
          <w:sz w:val="24"/>
          <w:szCs w:val="24"/>
        </w:rPr>
        <w:tab/>
      </w:r>
      <w:r w:rsidRPr="00FA4807">
        <w:rPr>
          <w:rFonts w:ascii="Arial" w:hAnsi="Arial" w:cs="Arial"/>
          <w:i/>
          <w:iCs/>
          <w:sz w:val="24"/>
          <w:szCs w:val="24"/>
        </w:rPr>
        <w:tab/>
        <w:t xml:space="preserve">this IHT400 have seen the IHT400 and agreed to be bound </w:t>
      </w:r>
      <w:r w:rsidRPr="00FA4807">
        <w:rPr>
          <w:rFonts w:ascii="Arial" w:hAnsi="Arial" w:cs="Arial"/>
          <w:i/>
          <w:iCs/>
          <w:sz w:val="24"/>
          <w:szCs w:val="24"/>
        </w:rPr>
        <w:tab/>
      </w:r>
      <w:r w:rsidRPr="00FA4807">
        <w:rPr>
          <w:rFonts w:ascii="Arial" w:hAnsi="Arial" w:cs="Arial"/>
          <w:i/>
          <w:iCs/>
          <w:sz w:val="24"/>
          <w:szCs w:val="24"/>
        </w:rPr>
        <w:tab/>
        <w:t>by the declaration on page 14 of the IHT400.</w:t>
      </w:r>
    </w:p>
    <w:p w14:paraId="477CBB2F" w14:textId="77777777" w:rsidR="00D12AB4" w:rsidRPr="00517984" w:rsidRDefault="00D12AB4" w:rsidP="00D12AB4">
      <w:pPr>
        <w:pStyle w:val="ListParagraph"/>
        <w:numPr>
          <w:ilvl w:val="0"/>
          <w:numId w:val="8"/>
        </w:numPr>
        <w:spacing w:before="100" w:beforeAutospacing="1" w:after="100" w:afterAutospacing="1" w:line="240" w:lineRule="auto"/>
        <w:ind w:hanging="731"/>
        <w:jc w:val="both"/>
        <w:rPr>
          <w:rFonts w:ascii="Arial" w:hAnsi="Arial" w:cs="Arial"/>
          <w:b/>
          <w:bCs/>
          <w:sz w:val="24"/>
          <w:szCs w:val="24"/>
        </w:rPr>
      </w:pPr>
      <w:r w:rsidRPr="00517984">
        <w:rPr>
          <w:rFonts w:ascii="Arial" w:hAnsi="Arial" w:cs="Arial"/>
          <w:b/>
          <w:bCs/>
          <w:sz w:val="24"/>
          <w:szCs w:val="24"/>
        </w:rPr>
        <w:t>Change of process for form IHT421</w:t>
      </w:r>
    </w:p>
    <w:p w14:paraId="1725E5E6" w14:textId="77777777" w:rsidR="00D12AB4" w:rsidRPr="00FA4807" w:rsidRDefault="00D12AB4" w:rsidP="00D12AB4">
      <w:pPr>
        <w:spacing w:before="100" w:beforeAutospacing="1" w:after="100" w:afterAutospacing="1" w:line="240" w:lineRule="auto"/>
        <w:ind w:left="1440"/>
        <w:jc w:val="both"/>
        <w:rPr>
          <w:rFonts w:ascii="Arial" w:hAnsi="Arial" w:cs="Arial"/>
          <w:i/>
          <w:iCs/>
          <w:sz w:val="24"/>
          <w:szCs w:val="24"/>
        </w:rPr>
      </w:pPr>
      <w:r w:rsidRPr="00FA4807">
        <w:rPr>
          <w:rFonts w:ascii="Arial" w:hAnsi="Arial" w:cs="Arial"/>
          <w:i/>
          <w:iCs/>
          <w:sz w:val="24"/>
          <w:szCs w:val="24"/>
        </w:rPr>
        <w:t>HMRC has changed the process for dealing with forms IHT421 – ‘Probate Summary’ for grants in England and Wales. We’re now emailing these forms directly to HM Courts and Tribunals Service (HMCTS) in all cases, rather than returning the forms to you. When we’ve done this, we’ll either write to you or include a note on the calculations to tell you what we’ve done.</w:t>
      </w:r>
    </w:p>
    <w:p w14:paraId="23F16AA5" w14:textId="77777777" w:rsidR="00D12AB4" w:rsidRDefault="00D12AB4" w:rsidP="00D12AB4">
      <w:pPr>
        <w:spacing w:before="100" w:beforeAutospacing="1" w:after="100" w:afterAutospacing="1" w:line="240" w:lineRule="auto"/>
        <w:ind w:left="1440"/>
        <w:jc w:val="both"/>
        <w:rPr>
          <w:rFonts w:ascii="Arial" w:hAnsi="Arial" w:cs="Arial"/>
          <w:i/>
          <w:iCs/>
          <w:sz w:val="24"/>
          <w:szCs w:val="24"/>
        </w:rPr>
      </w:pPr>
      <w:r w:rsidRPr="00FA4807">
        <w:rPr>
          <w:rFonts w:ascii="Arial" w:hAnsi="Arial" w:cs="Arial"/>
          <w:i/>
          <w:iCs/>
          <w:sz w:val="24"/>
          <w:szCs w:val="24"/>
        </w:rPr>
        <w:t xml:space="preserve">This new process means that customers will get their grant more quickly. To make the probate process as quick and smooth as possible we advise customers to send their application for a grant to HMCTS, 15 </w:t>
      </w:r>
      <w:r w:rsidRPr="00FA4807">
        <w:rPr>
          <w:rFonts w:ascii="Arial" w:hAnsi="Arial" w:cs="Arial"/>
          <w:i/>
          <w:iCs/>
          <w:sz w:val="24"/>
          <w:szCs w:val="24"/>
        </w:rPr>
        <w:lastRenderedPageBreak/>
        <w:t>working days after they have sent their form IHT400 to HMRC. The form IHT421 has been amended to reflect this process change.</w:t>
      </w:r>
    </w:p>
    <w:p w14:paraId="7F94F75B" w14:textId="77777777" w:rsidR="00D12AB4" w:rsidRPr="00517984" w:rsidRDefault="00D12AB4" w:rsidP="00D12AB4">
      <w:pPr>
        <w:pStyle w:val="ListParagraph"/>
        <w:numPr>
          <w:ilvl w:val="0"/>
          <w:numId w:val="10"/>
        </w:numPr>
        <w:spacing w:before="100" w:beforeAutospacing="1" w:after="100" w:afterAutospacing="1" w:line="240" w:lineRule="auto"/>
        <w:ind w:left="1418" w:hanging="709"/>
        <w:jc w:val="both"/>
        <w:rPr>
          <w:rFonts w:ascii="Arial" w:hAnsi="Arial" w:cs="Arial"/>
          <w:b/>
          <w:bCs/>
          <w:sz w:val="24"/>
          <w:szCs w:val="24"/>
        </w:rPr>
      </w:pPr>
      <w:r w:rsidRPr="00517984">
        <w:rPr>
          <w:rFonts w:ascii="Arial" w:hAnsi="Arial" w:cs="Arial"/>
          <w:b/>
          <w:bCs/>
          <w:sz w:val="24"/>
          <w:szCs w:val="24"/>
        </w:rPr>
        <w:t>Paying by cheque for Inheritance Tax</w:t>
      </w:r>
    </w:p>
    <w:p w14:paraId="10E25FD6" w14:textId="77777777" w:rsidR="00D12AB4" w:rsidRPr="00FA4807" w:rsidRDefault="00D12AB4" w:rsidP="00D12AB4">
      <w:pPr>
        <w:spacing w:before="100" w:beforeAutospacing="1" w:after="100" w:afterAutospacing="1" w:line="240" w:lineRule="auto"/>
        <w:ind w:left="1418"/>
        <w:jc w:val="both"/>
        <w:rPr>
          <w:rFonts w:ascii="Arial" w:hAnsi="Arial" w:cs="Arial"/>
          <w:i/>
          <w:iCs/>
          <w:sz w:val="24"/>
          <w:szCs w:val="24"/>
        </w:rPr>
      </w:pPr>
      <w:r w:rsidRPr="00FA4807">
        <w:rPr>
          <w:rFonts w:ascii="Arial" w:hAnsi="Arial" w:cs="Arial"/>
          <w:i/>
          <w:iCs/>
          <w:sz w:val="24"/>
          <w:szCs w:val="24"/>
        </w:rPr>
        <w:t>From 6 April 2020 we stopped accepting cheques as a method of payment for Inheritance Tax. Other methods to pay are listed on the Inheritance Tax payments page.</w:t>
      </w:r>
    </w:p>
    <w:p w14:paraId="57835F4B" w14:textId="77777777" w:rsidR="00D12AB4" w:rsidRPr="00517984" w:rsidRDefault="00D12AB4" w:rsidP="00D12AB4">
      <w:pPr>
        <w:pStyle w:val="ListParagraph"/>
        <w:numPr>
          <w:ilvl w:val="0"/>
          <w:numId w:val="10"/>
        </w:numPr>
        <w:spacing w:before="100" w:beforeAutospacing="1" w:after="100" w:afterAutospacing="1" w:line="240" w:lineRule="auto"/>
        <w:ind w:left="1418" w:hanging="709"/>
        <w:jc w:val="both"/>
        <w:rPr>
          <w:rFonts w:ascii="Arial" w:hAnsi="Arial" w:cs="Arial"/>
          <w:b/>
          <w:bCs/>
          <w:sz w:val="24"/>
          <w:szCs w:val="24"/>
        </w:rPr>
      </w:pPr>
      <w:r w:rsidRPr="00517984">
        <w:rPr>
          <w:rFonts w:ascii="Arial" w:hAnsi="Arial" w:cs="Arial"/>
          <w:b/>
          <w:bCs/>
          <w:sz w:val="24"/>
          <w:szCs w:val="24"/>
        </w:rPr>
        <w:t>Inheritance Tax valuations</w:t>
      </w:r>
    </w:p>
    <w:p w14:paraId="65EBB62E" w14:textId="77777777" w:rsidR="00D12AB4" w:rsidRPr="00FA4807" w:rsidRDefault="00D12AB4" w:rsidP="00D12AB4">
      <w:pPr>
        <w:spacing w:before="100" w:beforeAutospacing="1" w:after="100" w:afterAutospacing="1" w:line="240" w:lineRule="auto"/>
        <w:ind w:left="1418"/>
        <w:jc w:val="both"/>
        <w:rPr>
          <w:rFonts w:ascii="Arial" w:hAnsi="Arial" w:cs="Arial"/>
          <w:i/>
          <w:iCs/>
          <w:sz w:val="24"/>
          <w:szCs w:val="24"/>
        </w:rPr>
      </w:pPr>
      <w:r w:rsidRPr="00FA4807">
        <w:rPr>
          <w:rFonts w:ascii="Arial" w:hAnsi="Arial" w:cs="Arial"/>
          <w:i/>
          <w:iCs/>
          <w:sz w:val="24"/>
          <w:szCs w:val="24"/>
        </w:rPr>
        <w:t>We are aware that some customers have questions about valuing some types of property for Inheritance Tax, with the current coronavirus measures in place. There’s guidance on how to value property in the form IHT400 notes. This guidance covers estimated values and tells you that if you’re having difficulty, you may include the best provisional estimate you can. You’ll need to list the boxes that contain provisional estimates in box 121 of form IHT400 and the correct figure as soon as you know it.</w:t>
      </w:r>
    </w:p>
    <w:p w14:paraId="1EB8FF2B" w14:textId="77777777" w:rsidR="00D12AB4" w:rsidRDefault="00D12AB4" w:rsidP="00D12AB4">
      <w:pPr>
        <w:spacing w:before="100" w:beforeAutospacing="1" w:after="100" w:afterAutospacing="1" w:line="240" w:lineRule="auto"/>
        <w:jc w:val="both"/>
        <w:rPr>
          <w:rFonts w:ascii="Arial" w:hAnsi="Arial" w:cs="Arial"/>
          <w:b/>
          <w:bCs/>
          <w:sz w:val="24"/>
          <w:szCs w:val="24"/>
        </w:rPr>
      </w:pPr>
      <w:r w:rsidRPr="009807EF">
        <w:rPr>
          <w:rFonts w:ascii="Arial" w:hAnsi="Arial" w:cs="Arial"/>
          <w:b/>
          <w:bCs/>
          <w:sz w:val="24"/>
          <w:szCs w:val="24"/>
        </w:rPr>
        <w:t>2.2</w:t>
      </w:r>
      <w:r w:rsidRPr="009807EF">
        <w:rPr>
          <w:rFonts w:ascii="Arial" w:hAnsi="Arial" w:cs="Arial"/>
          <w:b/>
          <w:bCs/>
          <w:sz w:val="24"/>
          <w:szCs w:val="24"/>
        </w:rPr>
        <w:tab/>
      </w:r>
      <w:r w:rsidRPr="00315F04">
        <w:rPr>
          <w:rFonts w:ascii="Arial" w:hAnsi="Arial" w:cs="Arial"/>
          <w:b/>
          <w:bCs/>
          <w:i/>
          <w:iCs/>
          <w:sz w:val="24"/>
          <w:szCs w:val="24"/>
        </w:rPr>
        <w:t xml:space="preserve">Trust and Estates Newsletter </w:t>
      </w:r>
      <w:r w:rsidRPr="009807EF">
        <w:rPr>
          <w:rFonts w:ascii="Arial" w:hAnsi="Arial" w:cs="Arial"/>
          <w:b/>
          <w:bCs/>
          <w:sz w:val="24"/>
          <w:szCs w:val="24"/>
        </w:rPr>
        <w:t xml:space="preserve">August 2020 </w:t>
      </w:r>
      <w:r>
        <w:rPr>
          <w:rFonts w:ascii="Arial" w:hAnsi="Arial" w:cs="Arial"/>
          <w:b/>
          <w:bCs/>
          <w:sz w:val="24"/>
          <w:szCs w:val="24"/>
        </w:rPr>
        <w:t>change to clearance procedure</w:t>
      </w:r>
    </w:p>
    <w:p w14:paraId="3A21E326" w14:textId="77777777" w:rsidR="00D12AB4" w:rsidRPr="00FA4807" w:rsidRDefault="00D12AB4" w:rsidP="00D12AB4">
      <w:pPr>
        <w:spacing w:before="100" w:beforeAutospacing="1" w:after="100" w:afterAutospacing="1" w:line="240" w:lineRule="auto"/>
        <w:ind w:left="720"/>
        <w:jc w:val="both"/>
        <w:rPr>
          <w:rFonts w:ascii="Arial" w:hAnsi="Arial" w:cs="Arial"/>
          <w:i/>
          <w:iCs/>
          <w:sz w:val="24"/>
          <w:szCs w:val="24"/>
        </w:rPr>
      </w:pPr>
      <w:r w:rsidRPr="00FA4807">
        <w:rPr>
          <w:rFonts w:ascii="Arial" w:hAnsi="Arial" w:cs="Arial"/>
          <w:i/>
          <w:iCs/>
          <w:sz w:val="24"/>
          <w:szCs w:val="24"/>
        </w:rPr>
        <w:t>To prevent delays we are making changes to the current process for handling forms IHT30 –‘Application for a clearance certificate’. Instead of returning a stamped and signed copy of the form IHT30 we will send customers a letter to certify that the Commissioners of HM Revenue and Customs discharge the applicants who have signed the form.</w:t>
      </w:r>
    </w:p>
    <w:p w14:paraId="4113EA11" w14:textId="77777777" w:rsidR="00D12AB4" w:rsidRDefault="00D12AB4" w:rsidP="00D12AB4">
      <w:pPr>
        <w:spacing w:before="100" w:beforeAutospacing="1" w:after="100" w:afterAutospacing="1" w:line="240" w:lineRule="auto"/>
        <w:ind w:left="720"/>
        <w:jc w:val="both"/>
        <w:rPr>
          <w:rFonts w:ascii="Arial" w:hAnsi="Arial" w:cs="Arial"/>
          <w:i/>
          <w:iCs/>
          <w:sz w:val="24"/>
          <w:szCs w:val="24"/>
        </w:rPr>
      </w:pPr>
      <w:r w:rsidRPr="00FA4807">
        <w:rPr>
          <w:rFonts w:ascii="Arial" w:hAnsi="Arial" w:cs="Arial"/>
          <w:i/>
          <w:iCs/>
          <w:sz w:val="24"/>
          <w:szCs w:val="24"/>
        </w:rPr>
        <w:t>In place of our usual stamp, HMRC will use a unique authorisation code. The letter will have exactly the same effect as the stamped and signed IHT30.</w:t>
      </w:r>
    </w:p>
    <w:p w14:paraId="7AD497F7" w14:textId="037556F8" w:rsidR="00413711" w:rsidRDefault="00413711">
      <w:pPr>
        <w:rPr>
          <w:rFonts w:ascii="Arial" w:hAnsi="Arial" w:cs="Arial"/>
          <w:sz w:val="24"/>
          <w:szCs w:val="24"/>
        </w:rPr>
      </w:pPr>
    </w:p>
    <w:p w14:paraId="3C591F57" w14:textId="77777777" w:rsidR="00D12AB4" w:rsidRDefault="00D12AB4">
      <w:pPr>
        <w:rPr>
          <w:rFonts w:ascii="Arial" w:hAnsi="Arial" w:cs="Arial"/>
          <w:b/>
          <w:bCs/>
          <w:sz w:val="24"/>
          <w:szCs w:val="24"/>
        </w:rPr>
      </w:pPr>
      <w:r>
        <w:rPr>
          <w:rFonts w:ascii="Arial" w:hAnsi="Arial" w:cs="Arial"/>
          <w:b/>
          <w:bCs/>
          <w:sz w:val="24"/>
          <w:szCs w:val="24"/>
        </w:rPr>
        <w:br w:type="page"/>
      </w:r>
    </w:p>
    <w:p w14:paraId="7786794F" w14:textId="26A79AC7" w:rsidR="00413711" w:rsidRPr="00413711" w:rsidRDefault="00123D5B" w:rsidP="0041371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hAnsi="Arial" w:cs="Arial"/>
          <w:b/>
          <w:bCs/>
          <w:sz w:val="24"/>
          <w:szCs w:val="24"/>
        </w:rPr>
      </w:pPr>
      <w:r>
        <w:rPr>
          <w:rFonts w:ascii="Arial" w:hAnsi="Arial" w:cs="Arial"/>
          <w:b/>
          <w:bCs/>
          <w:sz w:val="24"/>
          <w:szCs w:val="24"/>
        </w:rPr>
        <w:lastRenderedPageBreak/>
        <w:t>I</w:t>
      </w:r>
      <w:r w:rsidR="00413711" w:rsidRPr="00413711">
        <w:rPr>
          <w:rFonts w:ascii="Arial" w:hAnsi="Arial" w:cs="Arial"/>
          <w:b/>
          <w:bCs/>
          <w:sz w:val="24"/>
          <w:szCs w:val="24"/>
        </w:rPr>
        <w:t>V.</w:t>
      </w:r>
      <w:r w:rsidR="00413711" w:rsidRPr="00413711">
        <w:rPr>
          <w:rFonts w:ascii="Arial" w:hAnsi="Arial" w:cs="Arial"/>
          <w:b/>
          <w:bCs/>
          <w:sz w:val="24"/>
          <w:szCs w:val="24"/>
        </w:rPr>
        <w:tab/>
      </w:r>
      <w:r w:rsidR="00E506F7">
        <w:rPr>
          <w:rFonts w:ascii="Arial" w:hAnsi="Arial" w:cs="Arial"/>
          <w:b/>
          <w:bCs/>
          <w:sz w:val="24"/>
          <w:szCs w:val="24"/>
        </w:rPr>
        <w:t>RE</w:t>
      </w:r>
      <w:r>
        <w:rPr>
          <w:rFonts w:ascii="Arial" w:hAnsi="Arial" w:cs="Arial"/>
          <w:b/>
          <w:bCs/>
          <w:sz w:val="24"/>
          <w:szCs w:val="24"/>
        </w:rPr>
        <w:t>DU</w:t>
      </w:r>
      <w:r w:rsidR="00E506F7">
        <w:rPr>
          <w:rFonts w:ascii="Arial" w:hAnsi="Arial" w:cs="Arial"/>
          <w:b/>
          <w:bCs/>
          <w:sz w:val="24"/>
          <w:szCs w:val="24"/>
        </w:rPr>
        <w:t>C</w:t>
      </w:r>
      <w:r>
        <w:rPr>
          <w:rFonts w:ascii="Arial" w:hAnsi="Arial" w:cs="Arial"/>
          <w:b/>
          <w:bCs/>
          <w:sz w:val="24"/>
          <w:szCs w:val="24"/>
        </w:rPr>
        <w:t>I</w:t>
      </w:r>
      <w:r w:rsidR="00E506F7">
        <w:rPr>
          <w:rFonts w:ascii="Arial" w:hAnsi="Arial" w:cs="Arial"/>
          <w:b/>
          <w:bCs/>
          <w:sz w:val="24"/>
          <w:szCs w:val="24"/>
        </w:rPr>
        <w:t>N</w:t>
      </w:r>
      <w:r>
        <w:rPr>
          <w:rFonts w:ascii="Arial" w:hAnsi="Arial" w:cs="Arial"/>
          <w:b/>
          <w:bCs/>
          <w:sz w:val="24"/>
          <w:szCs w:val="24"/>
        </w:rPr>
        <w:t>G RI</w:t>
      </w:r>
      <w:r w:rsidR="00E506F7">
        <w:rPr>
          <w:rFonts w:ascii="Arial" w:hAnsi="Arial" w:cs="Arial"/>
          <w:b/>
          <w:bCs/>
          <w:sz w:val="24"/>
          <w:szCs w:val="24"/>
        </w:rPr>
        <w:t>S</w:t>
      </w:r>
      <w:r>
        <w:rPr>
          <w:rFonts w:ascii="Arial" w:hAnsi="Arial" w:cs="Arial"/>
          <w:b/>
          <w:bCs/>
          <w:sz w:val="24"/>
          <w:szCs w:val="24"/>
        </w:rPr>
        <w:t>K</w:t>
      </w:r>
      <w:r w:rsidR="00E506F7">
        <w:rPr>
          <w:rFonts w:ascii="Arial" w:hAnsi="Arial" w:cs="Arial"/>
          <w:b/>
          <w:bCs/>
          <w:sz w:val="24"/>
          <w:szCs w:val="24"/>
        </w:rPr>
        <w:t>S</w:t>
      </w:r>
    </w:p>
    <w:p w14:paraId="1AAB7CFD" w14:textId="036979FA" w:rsidR="00E607FA" w:rsidRPr="008520FB" w:rsidRDefault="00413711" w:rsidP="00347969">
      <w:pPr>
        <w:spacing w:before="100" w:beforeAutospacing="1" w:after="100" w:afterAutospacing="1" w:line="240" w:lineRule="auto"/>
        <w:jc w:val="both"/>
        <w:rPr>
          <w:rFonts w:ascii="Arial" w:eastAsia="Times New Roman" w:hAnsi="Arial" w:cs="Arial"/>
          <w:b/>
          <w:bCs/>
          <w:sz w:val="24"/>
          <w:szCs w:val="24"/>
          <w:lang w:val="en" w:eastAsia="en-GB"/>
        </w:rPr>
      </w:pPr>
      <w:r w:rsidRPr="008520FB">
        <w:rPr>
          <w:rFonts w:ascii="Arial" w:hAnsi="Arial" w:cs="Arial"/>
          <w:b/>
          <w:bCs/>
          <w:sz w:val="24"/>
          <w:szCs w:val="24"/>
        </w:rPr>
        <w:t>1.</w:t>
      </w:r>
      <w:r w:rsidRPr="008520FB">
        <w:rPr>
          <w:rFonts w:ascii="Arial" w:hAnsi="Arial" w:cs="Arial"/>
          <w:b/>
          <w:bCs/>
          <w:sz w:val="24"/>
          <w:szCs w:val="24"/>
        </w:rPr>
        <w:tab/>
      </w:r>
      <w:r w:rsidR="00123D5B">
        <w:rPr>
          <w:rFonts w:ascii="Arial" w:eastAsia="Times New Roman" w:hAnsi="Arial" w:cs="Arial"/>
          <w:b/>
          <w:bCs/>
          <w:sz w:val="24"/>
          <w:szCs w:val="24"/>
          <w:lang w:val="en" w:eastAsia="en-GB"/>
        </w:rPr>
        <w:t>The duties of PRs</w:t>
      </w:r>
    </w:p>
    <w:p w14:paraId="3D2C1AFC" w14:textId="108AA544" w:rsidR="00123D5B" w:rsidRPr="00123D5B" w:rsidRDefault="00123D5B" w:rsidP="00123D5B">
      <w:pPr>
        <w:spacing w:before="100" w:beforeAutospacing="1" w:after="100" w:afterAutospacing="1" w:line="240" w:lineRule="auto"/>
        <w:ind w:left="720"/>
        <w:jc w:val="both"/>
        <w:rPr>
          <w:rFonts w:ascii="Arial" w:eastAsia="Times New Roman" w:hAnsi="Arial" w:cs="Arial"/>
          <w:bCs/>
          <w:iCs/>
          <w:sz w:val="24"/>
          <w:szCs w:val="24"/>
          <w:lang w:eastAsia="ar-SA"/>
        </w:rPr>
      </w:pPr>
      <w:r w:rsidRPr="00123D5B">
        <w:rPr>
          <w:rFonts w:ascii="Arial" w:eastAsia="Times New Roman" w:hAnsi="Arial" w:cs="Arial"/>
          <w:bCs/>
          <w:iCs/>
          <w:sz w:val="24"/>
          <w:szCs w:val="24"/>
          <w:lang w:eastAsia="ar-SA"/>
        </w:rPr>
        <w:t xml:space="preserve">PRs </w:t>
      </w:r>
      <w:r>
        <w:rPr>
          <w:rFonts w:ascii="Arial" w:eastAsia="Times New Roman" w:hAnsi="Arial" w:cs="Arial"/>
          <w:bCs/>
          <w:iCs/>
          <w:sz w:val="24"/>
          <w:szCs w:val="24"/>
          <w:lang w:eastAsia="ar-SA"/>
        </w:rPr>
        <w:t xml:space="preserve">must collect in the assets of the deceased, identify and pay liabilities and </w:t>
      </w:r>
      <w:r w:rsidRPr="00123D5B">
        <w:rPr>
          <w:rFonts w:ascii="Arial" w:eastAsia="Times New Roman" w:hAnsi="Arial" w:cs="Arial"/>
          <w:bCs/>
          <w:iCs/>
          <w:sz w:val="24"/>
          <w:szCs w:val="24"/>
          <w:lang w:eastAsia="ar-SA"/>
        </w:rPr>
        <w:t xml:space="preserve"> distribute the balance to those entitled.</w:t>
      </w:r>
    </w:p>
    <w:p w14:paraId="6014177A" w14:textId="091BCEE3" w:rsidR="00123D5B" w:rsidRPr="00123D5B" w:rsidRDefault="00123D5B" w:rsidP="00123D5B">
      <w:pPr>
        <w:spacing w:before="100" w:beforeAutospacing="1" w:after="100" w:afterAutospacing="1" w:line="240" w:lineRule="auto"/>
        <w:ind w:left="720"/>
        <w:jc w:val="both"/>
        <w:rPr>
          <w:rFonts w:ascii="Arial" w:eastAsia="Times New Roman" w:hAnsi="Arial" w:cs="Arial"/>
          <w:bCs/>
          <w:iCs/>
          <w:sz w:val="24"/>
          <w:szCs w:val="24"/>
          <w:lang w:eastAsia="ar-SA"/>
        </w:rPr>
      </w:pPr>
      <w:r w:rsidRPr="00123D5B">
        <w:rPr>
          <w:rFonts w:ascii="Arial" w:eastAsia="Times New Roman" w:hAnsi="Arial" w:cs="Arial"/>
          <w:bCs/>
          <w:iCs/>
          <w:sz w:val="24"/>
          <w:szCs w:val="24"/>
          <w:lang w:eastAsia="ar-SA"/>
        </w:rPr>
        <w:t>Increasing digitalization makes it harder to find assets</w:t>
      </w:r>
      <w:r>
        <w:rPr>
          <w:rFonts w:ascii="Arial" w:eastAsia="Times New Roman" w:hAnsi="Arial" w:cs="Arial"/>
          <w:bCs/>
          <w:iCs/>
          <w:sz w:val="24"/>
          <w:szCs w:val="24"/>
          <w:lang w:eastAsia="ar-SA"/>
        </w:rPr>
        <w:t xml:space="preserve"> and liabilities</w:t>
      </w:r>
      <w:r w:rsidRPr="00123D5B">
        <w:rPr>
          <w:rFonts w:ascii="Arial" w:eastAsia="Times New Roman" w:hAnsi="Arial" w:cs="Arial"/>
          <w:bCs/>
          <w:iCs/>
          <w:sz w:val="24"/>
          <w:szCs w:val="24"/>
          <w:lang w:eastAsia="ar-SA"/>
        </w:rPr>
        <w:t>.</w:t>
      </w:r>
    </w:p>
    <w:p w14:paraId="4BF59404" w14:textId="77777777" w:rsidR="00123D5B" w:rsidRPr="00123D5B" w:rsidRDefault="00123D5B" w:rsidP="00123D5B">
      <w:pPr>
        <w:spacing w:before="100" w:beforeAutospacing="1" w:after="100" w:afterAutospacing="1" w:line="240" w:lineRule="auto"/>
        <w:jc w:val="both"/>
        <w:rPr>
          <w:rFonts w:ascii="Arial" w:eastAsia="Times New Roman" w:hAnsi="Arial" w:cs="Arial"/>
          <w:b/>
          <w:iCs/>
          <w:sz w:val="24"/>
          <w:szCs w:val="24"/>
          <w:lang w:eastAsia="ar-SA"/>
        </w:rPr>
      </w:pPr>
      <w:r w:rsidRPr="00123D5B">
        <w:rPr>
          <w:rFonts w:ascii="Arial" w:eastAsia="Times New Roman" w:hAnsi="Arial" w:cs="Arial"/>
          <w:b/>
          <w:iCs/>
          <w:sz w:val="24"/>
          <w:szCs w:val="24"/>
          <w:lang w:eastAsia="ar-SA"/>
        </w:rPr>
        <w:t>2.</w:t>
      </w:r>
      <w:r w:rsidRPr="00123D5B">
        <w:rPr>
          <w:rFonts w:ascii="Arial" w:eastAsia="Times New Roman" w:hAnsi="Arial" w:cs="Arial"/>
          <w:b/>
          <w:iCs/>
          <w:sz w:val="24"/>
          <w:szCs w:val="24"/>
          <w:lang w:eastAsia="ar-SA"/>
        </w:rPr>
        <w:tab/>
        <w:t>Assets</w:t>
      </w:r>
    </w:p>
    <w:p w14:paraId="7DD58CAB" w14:textId="258149FB" w:rsidR="00123D5B" w:rsidRPr="00123D5B" w:rsidRDefault="00123D5B" w:rsidP="00123D5B">
      <w:pPr>
        <w:spacing w:before="100" w:beforeAutospacing="1" w:after="100" w:afterAutospacing="1" w:line="240" w:lineRule="auto"/>
        <w:ind w:left="720"/>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 xml:space="preserve">If the deceased submitted tax returns, this is a good place to start. It </w:t>
      </w:r>
      <w:r w:rsidRPr="00123D5B">
        <w:rPr>
          <w:rFonts w:ascii="Arial" w:eastAsia="Times New Roman" w:hAnsi="Arial" w:cs="Arial"/>
          <w:bCs/>
          <w:iCs/>
          <w:sz w:val="24"/>
          <w:szCs w:val="24"/>
          <w:lang w:eastAsia="ar-SA"/>
        </w:rPr>
        <w:t>should reveal interest-bearing accounts and shares.</w:t>
      </w:r>
    </w:p>
    <w:p w14:paraId="048264CD" w14:textId="11D534F3" w:rsidR="00123D5B" w:rsidRPr="00123D5B" w:rsidRDefault="00123D5B" w:rsidP="00123D5B">
      <w:pPr>
        <w:spacing w:before="100" w:beforeAutospacing="1" w:after="100" w:afterAutospacing="1" w:line="240" w:lineRule="auto"/>
        <w:ind w:left="720"/>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However, many potentially valuable assets will not show up on the tax return, for example</w:t>
      </w:r>
      <w:r w:rsidRPr="00123D5B">
        <w:rPr>
          <w:rFonts w:ascii="Arial" w:eastAsia="Times New Roman" w:hAnsi="Arial" w:cs="Arial"/>
          <w:bCs/>
          <w:iCs/>
          <w:sz w:val="24"/>
          <w:szCs w:val="24"/>
          <w:lang w:eastAsia="ar-SA"/>
        </w:rPr>
        <w:t xml:space="preserve"> gambling accounts,  non-interest accounts, PayPal etc.</w:t>
      </w:r>
    </w:p>
    <w:p w14:paraId="1961B683" w14:textId="29100D50" w:rsidR="00123D5B" w:rsidRPr="00123D5B" w:rsidRDefault="00123D5B" w:rsidP="00123D5B">
      <w:pPr>
        <w:spacing w:before="100" w:beforeAutospacing="1" w:after="100" w:afterAutospacing="1" w:line="240" w:lineRule="auto"/>
        <w:ind w:left="720"/>
        <w:jc w:val="both"/>
        <w:rPr>
          <w:rFonts w:ascii="Arial" w:eastAsia="Times New Roman" w:hAnsi="Arial" w:cs="Arial"/>
          <w:bCs/>
          <w:iCs/>
          <w:sz w:val="24"/>
          <w:szCs w:val="24"/>
          <w:lang w:eastAsia="ar-SA"/>
        </w:rPr>
      </w:pPr>
      <w:r w:rsidRPr="00123D5B">
        <w:rPr>
          <w:rFonts w:ascii="Arial" w:eastAsia="Times New Roman" w:hAnsi="Arial" w:cs="Arial"/>
          <w:bCs/>
          <w:iCs/>
          <w:sz w:val="24"/>
          <w:szCs w:val="24"/>
          <w:lang w:eastAsia="ar-SA"/>
        </w:rPr>
        <w:t xml:space="preserve">HMRC </w:t>
      </w:r>
      <w:r>
        <w:rPr>
          <w:rFonts w:ascii="Arial" w:eastAsia="Times New Roman" w:hAnsi="Arial" w:cs="Arial"/>
          <w:bCs/>
          <w:iCs/>
          <w:sz w:val="24"/>
          <w:szCs w:val="24"/>
          <w:lang w:eastAsia="ar-SA"/>
        </w:rPr>
        <w:t xml:space="preserve">are </w:t>
      </w:r>
      <w:r w:rsidRPr="00123D5B">
        <w:rPr>
          <w:rFonts w:ascii="Arial" w:eastAsia="Times New Roman" w:hAnsi="Arial" w:cs="Arial"/>
          <w:bCs/>
          <w:iCs/>
          <w:sz w:val="24"/>
          <w:szCs w:val="24"/>
          <w:lang w:eastAsia="ar-SA"/>
        </w:rPr>
        <w:t xml:space="preserve">very quick to impose penalties on PRs where accounts understate IHT due to lack of reasonable care. </w:t>
      </w:r>
    </w:p>
    <w:p w14:paraId="70F0DFBA" w14:textId="68529A75" w:rsidR="00123D5B" w:rsidRDefault="00123D5B" w:rsidP="00123D5B">
      <w:pPr>
        <w:spacing w:before="100" w:beforeAutospacing="1" w:after="100" w:afterAutospacing="1" w:line="240" w:lineRule="auto"/>
        <w:ind w:left="720"/>
        <w:jc w:val="both"/>
        <w:rPr>
          <w:rFonts w:ascii="Arial" w:eastAsia="Times New Roman" w:hAnsi="Arial" w:cs="Arial"/>
          <w:bCs/>
          <w:iCs/>
          <w:sz w:val="24"/>
          <w:szCs w:val="24"/>
          <w:lang w:eastAsia="ar-SA"/>
        </w:rPr>
      </w:pPr>
      <w:r w:rsidRPr="00123D5B">
        <w:rPr>
          <w:rFonts w:ascii="Arial" w:eastAsia="Times New Roman" w:hAnsi="Arial" w:cs="Arial"/>
          <w:bCs/>
          <w:iCs/>
          <w:sz w:val="24"/>
          <w:szCs w:val="24"/>
          <w:lang w:eastAsia="ar-SA"/>
        </w:rPr>
        <w:t>Using search providers saves time, may find assets AND demonstrates reasonable care</w:t>
      </w:r>
      <w:r>
        <w:rPr>
          <w:rFonts w:ascii="Arial" w:eastAsia="Times New Roman" w:hAnsi="Arial" w:cs="Arial"/>
          <w:bCs/>
          <w:iCs/>
          <w:sz w:val="24"/>
          <w:szCs w:val="24"/>
          <w:lang w:eastAsia="ar-SA"/>
        </w:rPr>
        <w:t>.</w:t>
      </w:r>
    </w:p>
    <w:p w14:paraId="43FC637B" w14:textId="6FC71FBA" w:rsidR="00123D5B" w:rsidRPr="00123D5B" w:rsidRDefault="00123D5B" w:rsidP="00123D5B">
      <w:pPr>
        <w:spacing w:before="100" w:beforeAutospacing="1" w:after="100" w:afterAutospacing="1" w:line="240" w:lineRule="auto"/>
        <w:jc w:val="both"/>
        <w:rPr>
          <w:rFonts w:ascii="Arial" w:eastAsia="Times New Roman" w:hAnsi="Arial" w:cs="Arial"/>
          <w:b/>
          <w:iCs/>
          <w:sz w:val="24"/>
          <w:szCs w:val="24"/>
          <w:lang w:eastAsia="ar-SA"/>
        </w:rPr>
      </w:pPr>
      <w:r w:rsidRPr="00123D5B">
        <w:rPr>
          <w:rFonts w:ascii="Arial" w:eastAsia="Times New Roman" w:hAnsi="Arial" w:cs="Arial"/>
          <w:b/>
          <w:iCs/>
          <w:sz w:val="24"/>
          <w:szCs w:val="24"/>
          <w:lang w:eastAsia="ar-SA"/>
        </w:rPr>
        <w:t>3.</w:t>
      </w:r>
      <w:r w:rsidRPr="00123D5B">
        <w:rPr>
          <w:rFonts w:ascii="Arial" w:eastAsia="Times New Roman" w:hAnsi="Arial" w:cs="Arial"/>
          <w:b/>
          <w:iCs/>
          <w:sz w:val="24"/>
          <w:szCs w:val="24"/>
          <w:lang w:eastAsia="ar-SA"/>
        </w:rPr>
        <w:tab/>
        <w:t>Liabilities</w:t>
      </w:r>
    </w:p>
    <w:p w14:paraId="45190B52" w14:textId="1F656C69" w:rsidR="00123D5B" w:rsidRDefault="00123D5B" w:rsidP="00123D5B">
      <w:pPr>
        <w:spacing w:before="100" w:beforeAutospacing="1" w:after="100" w:afterAutospacing="1" w:line="240" w:lineRule="auto"/>
        <w:ind w:left="720"/>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PRs normally rely on advertisements to protect them from liability in relation to unknown claimants. It is as follows:</w:t>
      </w:r>
    </w:p>
    <w:p w14:paraId="10FCAE66" w14:textId="6FE08119" w:rsidR="00B801A7" w:rsidRDefault="00B801A7" w:rsidP="00123D5B">
      <w:pPr>
        <w:spacing w:before="100" w:beforeAutospacing="1" w:after="100" w:afterAutospacing="1" w:line="240" w:lineRule="auto"/>
        <w:ind w:left="720"/>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ab/>
        <w:t>Section 27</w:t>
      </w:r>
    </w:p>
    <w:p w14:paraId="1836A15E" w14:textId="1107A145" w:rsidR="00F10DCE" w:rsidRPr="00B801A7" w:rsidRDefault="00F10DCE" w:rsidP="00F10DCE">
      <w:pPr>
        <w:pStyle w:val="ListParagraph"/>
        <w:numPr>
          <w:ilvl w:val="0"/>
          <w:numId w:val="30"/>
        </w:numPr>
        <w:spacing w:before="100" w:beforeAutospacing="1" w:after="100" w:afterAutospacing="1" w:line="240" w:lineRule="auto"/>
        <w:ind w:left="1701" w:hanging="567"/>
        <w:jc w:val="both"/>
        <w:rPr>
          <w:rFonts w:ascii="Arial" w:eastAsia="Times New Roman" w:hAnsi="Arial" w:cs="Arial"/>
          <w:bCs/>
          <w:i/>
          <w:sz w:val="24"/>
          <w:szCs w:val="24"/>
          <w:lang w:eastAsia="ar-SA"/>
        </w:rPr>
      </w:pPr>
      <w:r w:rsidRPr="00B801A7">
        <w:rPr>
          <w:rFonts w:ascii="Arial" w:eastAsia="Times New Roman" w:hAnsi="Arial" w:cs="Arial"/>
          <w:bCs/>
          <w:i/>
          <w:sz w:val="24"/>
          <w:szCs w:val="24"/>
          <w:lang w:eastAsia="ar-SA"/>
        </w:rPr>
        <w:t>With a view to the conveyance to or distribution among the persons entitled to any real or personal property, the trustees of a settlement, trustees of land, trustees for sale of personal property] or personal representatives, may give notice by advertisement in the Gazette, and in a newspaper circulating in the district in which the land is situated and such other like notices, including notices elsewhere than in England and Wales, as would, in any special case, have been directed by a court of competent jurisdiction in an action for administration, of their intention to make such conveyance or distribution as aforesaid, and requiring any person interested to send to the trustees or personal representatives within the time, not being less than two months, fixed in the notice or, where more than one notice is given, in the last of the notices, particulars of his claim in respect of the property or any part thereof to which the notice relates.</w:t>
      </w:r>
    </w:p>
    <w:p w14:paraId="6CC28A63" w14:textId="77777777" w:rsidR="00F10DCE" w:rsidRPr="00B801A7" w:rsidRDefault="00F10DCE" w:rsidP="00F10DCE">
      <w:pPr>
        <w:pStyle w:val="ListParagraph"/>
        <w:spacing w:before="100" w:beforeAutospacing="1" w:after="100" w:afterAutospacing="1" w:line="240" w:lineRule="auto"/>
        <w:ind w:left="1701"/>
        <w:jc w:val="both"/>
        <w:rPr>
          <w:rFonts w:ascii="Arial" w:eastAsia="Times New Roman" w:hAnsi="Arial" w:cs="Arial"/>
          <w:bCs/>
          <w:i/>
          <w:sz w:val="24"/>
          <w:szCs w:val="24"/>
          <w:lang w:eastAsia="ar-SA"/>
        </w:rPr>
      </w:pPr>
    </w:p>
    <w:p w14:paraId="02D959CF" w14:textId="43267967" w:rsidR="00F10DCE" w:rsidRPr="00B801A7" w:rsidRDefault="00F10DCE" w:rsidP="00F10DCE">
      <w:pPr>
        <w:pStyle w:val="ListParagraph"/>
        <w:numPr>
          <w:ilvl w:val="0"/>
          <w:numId w:val="30"/>
        </w:numPr>
        <w:spacing w:before="100" w:beforeAutospacing="1" w:after="100" w:afterAutospacing="1" w:line="240" w:lineRule="auto"/>
        <w:ind w:left="1701" w:hanging="567"/>
        <w:jc w:val="both"/>
        <w:rPr>
          <w:rFonts w:ascii="Arial" w:eastAsia="Times New Roman" w:hAnsi="Arial" w:cs="Arial"/>
          <w:bCs/>
          <w:i/>
          <w:sz w:val="24"/>
          <w:szCs w:val="24"/>
          <w:lang w:eastAsia="ar-SA"/>
        </w:rPr>
      </w:pPr>
      <w:r w:rsidRPr="00B801A7">
        <w:rPr>
          <w:rFonts w:ascii="Arial" w:eastAsia="Times New Roman" w:hAnsi="Arial" w:cs="Arial"/>
          <w:bCs/>
          <w:i/>
          <w:sz w:val="24"/>
          <w:szCs w:val="24"/>
          <w:lang w:eastAsia="ar-SA"/>
        </w:rPr>
        <w:t xml:space="preserve">At the expiration of the time fixed by the notice the trustees or personal representatives may convey or distribute the property or any part thereof to which the notice relates, to or among the persons entitled thereto, having regard only to the claims, whether formal or not, of which the trustees or personal representatives then had notice and </w:t>
      </w:r>
      <w:r w:rsidRPr="00B801A7">
        <w:rPr>
          <w:rFonts w:ascii="Arial" w:eastAsia="Times New Roman" w:hAnsi="Arial" w:cs="Arial"/>
          <w:bCs/>
          <w:i/>
          <w:sz w:val="24"/>
          <w:szCs w:val="24"/>
          <w:lang w:eastAsia="ar-SA"/>
        </w:rPr>
        <w:lastRenderedPageBreak/>
        <w:t>shall not, as respects the property so conveyed or distributed, be liable to any person of whose claim the trustees or personal representatives have not had notice at the time of conveyance or distribution; but nothing in this section:</w:t>
      </w:r>
    </w:p>
    <w:p w14:paraId="360C4D8B" w14:textId="77777777" w:rsidR="00F10DCE" w:rsidRPr="00B801A7" w:rsidRDefault="00F10DCE" w:rsidP="00F10DCE">
      <w:pPr>
        <w:pStyle w:val="ListParagraph"/>
        <w:spacing w:before="100" w:beforeAutospacing="1" w:after="100" w:afterAutospacing="1" w:line="240" w:lineRule="auto"/>
        <w:ind w:left="1701"/>
        <w:jc w:val="both"/>
        <w:rPr>
          <w:rFonts w:ascii="Arial" w:eastAsia="Times New Roman" w:hAnsi="Arial" w:cs="Arial"/>
          <w:bCs/>
          <w:i/>
          <w:sz w:val="24"/>
          <w:szCs w:val="24"/>
          <w:lang w:eastAsia="ar-SA"/>
        </w:rPr>
      </w:pPr>
    </w:p>
    <w:p w14:paraId="675718B0" w14:textId="68D217B1" w:rsidR="00F10DCE" w:rsidRPr="00B801A7" w:rsidRDefault="00F10DCE" w:rsidP="00F10DCE">
      <w:pPr>
        <w:pStyle w:val="ListParagraph"/>
        <w:numPr>
          <w:ilvl w:val="0"/>
          <w:numId w:val="32"/>
        </w:numPr>
        <w:spacing w:before="100" w:beforeAutospacing="1" w:after="100" w:afterAutospacing="1" w:line="240" w:lineRule="auto"/>
        <w:ind w:left="2127" w:hanging="567"/>
        <w:jc w:val="both"/>
        <w:rPr>
          <w:rFonts w:ascii="Arial" w:eastAsia="Times New Roman" w:hAnsi="Arial" w:cs="Arial"/>
          <w:bCs/>
          <w:i/>
          <w:sz w:val="24"/>
          <w:szCs w:val="24"/>
          <w:lang w:eastAsia="ar-SA"/>
        </w:rPr>
      </w:pPr>
      <w:r w:rsidRPr="00B801A7">
        <w:rPr>
          <w:rFonts w:ascii="Arial" w:eastAsia="Times New Roman" w:hAnsi="Arial" w:cs="Arial"/>
          <w:bCs/>
          <w:i/>
          <w:sz w:val="24"/>
          <w:szCs w:val="24"/>
          <w:lang w:eastAsia="ar-SA"/>
        </w:rPr>
        <w:t>prejudices the right of any person to follow the property, or any property representing the same, into the hands of any person, other than a purchaser, who may have received it; or</w:t>
      </w:r>
    </w:p>
    <w:p w14:paraId="6B1C9900" w14:textId="77777777" w:rsidR="00F10DCE" w:rsidRPr="00B801A7" w:rsidRDefault="00F10DCE" w:rsidP="00F10DCE">
      <w:pPr>
        <w:pStyle w:val="ListParagraph"/>
        <w:spacing w:before="100" w:beforeAutospacing="1" w:after="100" w:afterAutospacing="1" w:line="240" w:lineRule="auto"/>
        <w:ind w:left="2127"/>
        <w:jc w:val="both"/>
        <w:rPr>
          <w:rFonts w:ascii="Arial" w:eastAsia="Times New Roman" w:hAnsi="Arial" w:cs="Arial"/>
          <w:bCs/>
          <w:i/>
          <w:sz w:val="24"/>
          <w:szCs w:val="24"/>
          <w:lang w:eastAsia="ar-SA"/>
        </w:rPr>
      </w:pPr>
    </w:p>
    <w:p w14:paraId="1959A6F6" w14:textId="5C16A09D" w:rsidR="00F10DCE" w:rsidRPr="00B801A7" w:rsidRDefault="00F10DCE" w:rsidP="00F10DCE">
      <w:pPr>
        <w:pStyle w:val="ListParagraph"/>
        <w:numPr>
          <w:ilvl w:val="0"/>
          <w:numId w:val="32"/>
        </w:numPr>
        <w:spacing w:before="100" w:beforeAutospacing="1" w:after="100" w:afterAutospacing="1" w:line="240" w:lineRule="auto"/>
        <w:ind w:left="2127" w:hanging="567"/>
        <w:jc w:val="both"/>
        <w:rPr>
          <w:rFonts w:ascii="Arial" w:eastAsia="Times New Roman" w:hAnsi="Arial" w:cs="Arial"/>
          <w:bCs/>
          <w:i/>
          <w:sz w:val="24"/>
          <w:szCs w:val="24"/>
          <w:lang w:eastAsia="ar-SA"/>
        </w:rPr>
      </w:pPr>
      <w:r w:rsidRPr="00B801A7">
        <w:rPr>
          <w:rFonts w:ascii="Arial" w:eastAsia="Times New Roman" w:hAnsi="Arial" w:cs="Arial"/>
          <w:bCs/>
          <w:i/>
          <w:sz w:val="24"/>
          <w:szCs w:val="24"/>
          <w:lang w:eastAsia="ar-SA"/>
        </w:rPr>
        <w:t>frees the trustees or personal representatives from any obligation to make searches or obtain official certificates of search similar to those which an intending purchaser would be advised to make or obtain.</w:t>
      </w:r>
    </w:p>
    <w:p w14:paraId="3F8CACC4" w14:textId="77777777" w:rsidR="00F10DCE" w:rsidRDefault="00F10DCE" w:rsidP="00C16480">
      <w:pPr>
        <w:ind w:left="720"/>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 xml:space="preserve">Section 27 only protects against unknown claims so, for example, is of no assistance where the existence of a beneficiary or creditor is known but they cannot be traced. Nor is it any help where a liability is contingent or of questionable liability. </w:t>
      </w:r>
    </w:p>
    <w:p w14:paraId="180AAF0F" w14:textId="77777777" w:rsidR="00F10DCE" w:rsidRDefault="00F10DCE" w:rsidP="00C16480">
      <w:pPr>
        <w:ind w:left="720"/>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It has three other problems.</w:t>
      </w:r>
    </w:p>
    <w:p w14:paraId="063E63E8" w14:textId="4CF84CF3" w:rsidR="00F10DCE" w:rsidRDefault="00F10DCE" w:rsidP="00C16480">
      <w:pPr>
        <w:pStyle w:val="ListParagraph"/>
        <w:numPr>
          <w:ilvl w:val="0"/>
          <w:numId w:val="34"/>
        </w:numPr>
        <w:ind w:hanging="731"/>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Sub-</w:t>
      </w:r>
      <w:r w:rsidRPr="00F10DCE">
        <w:rPr>
          <w:rFonts w:ascii="Arial" w:eastAsia="Times New Roman" w:hAnsi="Arial" w:cs="Arial"/>
          <w:bCs/>
          <w:iCs/>
          <w:sz w:val="24"/>
          <w:szCs w:val="24"/>
          <w:lang w:eastAsia="ar-SA"/>
        </w:rPr>
        <w:t xml:space="preserve">section </w:t>
      </w:r>
      <w:r w:rsidR="003D0434">
        <w:rPr>
          <w:rFonts w:ascii="Arial" w:eastAsia="Times New Roman" w:hAnsi="Arial" w:cs="Arial"/>
          <w:bCs/>
          <w:iCs/>
          <w:sz w:val="24"/>
          <w:szCs w:val="24"/>
          <w:lang w:eastAsia="ar-SA"/>
        </w:rPr>
        <w:t>2b</w:t>
      </w:r>
      <w:r>
        <w:rPr>
          <w:rFonts w:ascii="Arial" w:eastAsia="Times New Roman" w:hAnsi="Arial" w:cs="Arial"/>
          <w:bCs/>
          <w:iCs/>
          <w:sz w:val="24"/>
          <w:szCs w:val="24"/>
          <w:lang w:eastAsia="ar-SA"/>
        </w:rPr>
        <w:t xml:space="preserve"> makes it clear that</w:t>
      </w:r>
      <w:r w:rsidRPr="00F10DCE">
        <w:rPr>
          <w:rFonts w:ascii="Arial" w:eastAsia="Times New Roman" w:hAnsi="Arial" w:cs="Arial"/>
          <w:bCs/>
          <w:iCs/>
          <w:sz w:val="24"/>
          <w:szCs w:val="24"/>
          <w:lang w:eastAsia="ar-SA"/>
        </w:rPr>
        <w:t xml:space="preserve"> PRs </w:t>
      </w:r>
      <w:r>
        <w:rPr>
          <w:rFonts w:ascii="Arial" w:eastAsia="Times New Roman" w:hAnsi="Arial" w:cs="Arial"/>
          <w:bCs/>
          <w:iCs/>
          <w:sz w:val="24"/>
          <w:szCs w:val="24"/>
          <w:lang w:eastAsia="ar-SA"/>
        </w:rPr>
        <w:t xml:space="preserve">are required to </w:t>
      </w:r>
      <w:r w:rsidRPr="00F10DCE">
        <w:rPr>
          <w:rFonts w:ascii="Arial" w:eastAsia="Times New Roman" w:hAnsi="Arial" w:cs="Arial"/>
          <w:bCs/>
          <w:iCs/>
          <w:sz w:val="24"/>
          <w:szCs w:val="24"/>
          <w:lang w:eastAsia="ar-SA"/>
        </w:rPr>
        <w:t>make searches similar to</w:t>
      </w:r>
      <w:r>
        <w:rPr>
          <w:rFonts w:ascii="Arial" w:eastAsia="Times New Roman" w:hAnsi="Arial" w:cs="Arial"/>
          <w:bCs/>
          <w:iCs/>
          <w:sz w:val="24"/>
          <w:szCs w:val="24"/>
          <w:lang w:eastAsia="ar-SA"/>
        </w:rPr>
        <w:t xml:space="preserve"> </w:t>
      </w:r>
      <w:r w:rsidRPr="00F10DCE">
        <w:rPr>
          <w:rFonts w:ascii="Arial" w:eastAsia="Times New Roman" w:hAnsi="Arial" w:cs="Arial"/>
          <w:bCs/>
          <w:iCs/>
          <w:sz w:val="24"/>
          <w:szCs w:val="24"/>
          <w:lang w:eastAsia="ar-SA"/>
        </w:rPr>
        <w:t>those an intending purchaser would be advised to make or obtain</w:t>
      </w:r>
      <w:r>
        <w:rPr>
          <w:rFonts w:ascii="Arial" w:eastAsia="Times New Roman" w:hAnsi="Arial" w:cs="Arial"/>
          <w:bCs/>
          <w:iCs/>
          <w:sz w:val="24"/>
          <w:szCs w:val="24"/>
          <w:lang w:eastAsia="ar-SA"/>
        </w:rPr>
        <w:t>. What exactly this means when considering assets other than land is unclear. But the increased availability of on-line searches may mean that they become regarded as standard.</w:t>
      </w:r>
    </w:p>
    <w:p w14:paraId="0D9C8D31" w14:textId="12548506" w:rsidR="00F10DCE" w:rsidRPr="00F10DCE" w:rsidRDefault="00F10DCE" w:rsidP="00C16480">
      <w:pPr>
        <w:pStyle w:val="ListParagraph"/>
        <w:ind w:left="1440"/>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 xml:space="preserve"> </w:t>
      </w:r>
    </w:p>
    <w:p w14:paraId="0E79FB52" w14:textId="77777777" w:rsidR="00DE1371" w:rsidRDefault="00F10DCE" w:rsidP="00C16480">
      <w:pPr>
        <w:pStyle w:val="ListParagraph"/>
        <w:numPr>
          <w:ilvl w:val="0"/>
          <w:numId w:val="34"/>
        </w:numPr>
        <w:ind w:hanging="731"/>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 xml:space="preserve">Dicta in </w:t>
      </w:r>
      <w:r w:rsidRPr="00F10DCE">
        <w:rPr>
          <w:rFonts w:ascii="Arial" w:eastAsia="Times New Roman" w:hAnsi="Arial" w:cs="Arial"/>
          <w:b/>
          <w:i/>
          <w:sz w:val="24"/>
          <w:szCs w:val="24"/>
          <w:lang w:eastAsia="ar-SA"/>
        </w:rPr>
        <w:t>Re Yorke</w:t>
      </w:r>
      <w:r w:rsidRPr="00F10DCE">
        <w:rPr>
          <w:rFonts w:ascii="Arial" w:eastAsia="Times New Roman" w:hAnsi="Arial" w:cs="Arial"/>
          <w:bCs/>
          <w:iCs/>
          <w:sz w:val="24"/>
          <w:szCs w:val="24"/>
          <w:lang w:eastAsia="ar-SA"/>
        </w:rPr>
        <w:t xml:space="preserve"> </w:t>
      </w:r>
      <w:r w:rsidR="00DE1371" w:rsidRPr="00DE1371">
        <w:rPr>
          <w:rFonts w:ascii="Arial" w:eastAsia="Times New Roman" w:hAnsi="Arial" w:cs="Arial"/>
          <w:bCs/>
          <w:iCs/>
          <w:sz w:val="24"/>
          <w:szCs w:val="24"/>
          <w:lang w:eastAsia="ar-SA"/>
        </w:rPr>
        <w:t>[1997] 4 All ER 907</w:t>
      </w:r>
      <w:r w:rsidRPr="00F10DCE">
        <w:rPr>
          <w:rFonts w:ascii="Arial" w:eastAsia="Times New Roman" w:hAnsi="Arial" w:cs="Arial"/>
          <w:bCs/>
          <w:iCs/>
          <w:sz w:val="24"/>
          <w:szCs w:val="24"/>
          <w:lang w:eastAsia="ar-SA"/>
        </w:rPr>
        <w:t xml:space="preserve">and </w:t>
      </w:r>
      <w:r w:rsidR="00DE1371" w:rsidRPr="00DE1371">
        <w:rPr>
          <w:rFonts w:ascii="Arial" w:eastAsia="Times New Roman" w:hAnsi="Arial" w:cs="Arial"/>
          <w:b/>
          <w:i/>
          <w:sz w:val="24"/>
          <w:szCs w:val="24"/>
          <w:lang w:eastAsia="ar-SA"/>
        </w:rPr>
        <w:t xml:space="preserve">In the Estate of Michael John de Clare Studdert deceased  </w:t>
      </w:r>
      <w:r w:rsidR="00DE1371" w:rsidRPr="00DE1371">
        <w:rPr>
          <w:rFonts w:ascii="Arial" w:eastAsia="Times New Roman" w:hAnsi="Arial" w:cs="Arial"/>
          <w:bCs/>
          <w:iCs/>
          <w:sz w:val="24"/>
          <w:szCs w:val="24"/>
          <w:lang w:eastAsia="ar-SA"/>
        </w:rPr>
        <w:t>[2020] EWHC 1869 (Ch)</w:t>
      </w:r>
      <w:r w:rsidR="00DE1371">
        <w:rPr>
          <w:rFonts w:ascii="Arial" w:eastAsia="Times New Roman" w:hAnsi="Arial" w:cs="Arial"/>
          <w:bCs/>
          <w:iCs/>
          <w:sz w:val="24"/>
          <w:szCs w:val="24"/>
          <w:lang w:eastAsia="ar-SA"/>
        </w:rPr>
        <w:t xml:space="preserve"> </w:t>
      </w:r>
      <w:r w:rsidRPr="00F10DCE">
        <w:rPr>
          <w:rFonts w:ascii="Arial" w:eastAsia="Times New Roman" w:hAnsi="Arial" w:cs="Arial"/>
          <w:bCs/>
          <w:iCs/>
          <w:sz w:val="24"/>
          <w:szCs w:val="24"/>
          <w:lang w:eastAsia="ar-SA"/>
        </w:rPr>
        <w:t>suggest that s27 does not protect PRs, if</w:t>
      </w:r>
      <w:r w:rsidR="00DE1371">
        <w:rPr>
          <w:rFonts w:ascii="Arial" w:eastAsia="Times New Roman" w:hAnsi="Arial" w:cs="Arial"/>
          <w:bCs/>
          <w:iCs/>
          <w:sz w:val="24"/>
          <w:szCs w:val="24"/>
          <w:lang w:eastAsia="ar-SA"/>
        </w:rPr>
        <w:t>:</w:t>
      </w:r>
    </w:p>
    <w:p w14:paraId="3888653E" w14:textId="77777777" w:rsidR="00DE1371" w:rsidRDefault="00F10DCE" w:rsidP="00C16480">
      <w:pPr>
        <w:pStyle w:val="ListParagraph"/>
        <w:spacing w:after="0" w:line="240" w:lineRule="auto"/>
        <w:ind w:left="1440"/>
        <w:jc w:val="both"/>
        <w:rPr>
          <w:rFonts w:ascii="Arial" w:eastAsia="Times New Roman" w:hAnsi="Arial" w:cs="Arial"/>
          <w:bCs/>
          <w:iCs/>
          <w:sz w:val="24"/>
          <w:szCs w:val="24"/>
          <w:lang w:eastAsia="ar-SA"/>
        </w:rPr>
      </w:pPr>
      <w:r w:rsidRPr="00F10DCE">
        <w:rPr>
          <w:rFonts w:ascii="Arial" w:eastAsia="Times New Roman" w:hAnsi="Arial" w:cs="Arial"/>
          <w:bCs/>
          <w:iCs/>
          <w:sz w:val="24"/>
          <w:szCs w:val="24"/>
          <w:lang w:eastAsia="ar-SA"/>
        </w:rPr>
        <w:br/>
        <w:t xml:space="preserve"> (</w:t>
      </w:r>
      <w:r w:rsidR="00DE1371">
        <w:rPr>
          <w:rFonts w:ascii="Arial" w:eastAsia="Times New Roman" w:hAnsi="Arial" w:cs="Arial"/>
          <w:bCs/>
          <w:iCs/>
          <w:sz w:val="24"/>
          <w:szCs w:val="24"/>
          <w:lang w:eastAsia="ar-SA"/>
        </w:rPr>
        <w:t>a</w:t>
      </w:r>
      <w:r w:rsidRPr="00F10DCE">
        <w:rPr>
          <w:rFonts w:ascii="Arial" w:eastAsia="Times New Roman" w:hAnsi="Arial" w:cs="Arial"/>
          <w:bCs/>
          <w:iCs/>
          <w:sz w:val="24"/>
          <w:szCs w:val="24"/>
          <w:lang w:eastAsia="ar-SA"/>
        </w:rPr>
        <w:t>) there are grounds for suspecting liabilities exist, and</w:t>
      </w:r>
    </w:p>
    <w:p w14:paraId="49E14B52" w14:textId="2C262275" w:rsidR="00F10DCE" w:rsidRPr="00F10DCE" w:rsidRDefault="00F10DCE" w:rsidP="00C16480">
      <w:pPr>
        <w:pStyle w:val="ListParagraph"/>
        <w:spacing w:after="0" w:line="240" w:lineRule="auto"/>
        <w:ind w:left="1440"/>
        <w:jc w:val="both"/>
        <w:rPr>
          <w:rFonts w:ascii="Arial" w:eastAsia="Times New Roman" w:hAnsi="Arial" w:cs="Arial"/>
          <w:bCs/>
          <w:iCs/>
          <w:sz w:val="24"/>
          <w:szCs w:val="24"/>
          <w:lang w:eastAsia="ar-SA"/>
        </w:rPr>
      </w:pPr>
      <w:r w:rsidRPr="00F10DCE">
        <w:rPr>
          <w:rFonts w:ascii="Arial" w:eastAsia="Times New Roman" w:hAnsi="Arial" w:cs="Arial"/>
          <w:bCs/>
          <w:iCs/>
          <w:sz w:val="24"/>
          <w:szCs w:val="24"/>
          <w:lang w:eastAsia="ar-SA"/>
        </w:rPr>
        <w:t xml:space="preserve"> </w:t>
      </w:r>
      <w:r w:rsidRPr="00F10DCE">
        <w:rPr>
          <w:rFonts w:ascii="Arial" w:eastAsia="Times New Roman" w:hAnsi="Arial" w:cs="Arial"/>
          <w:bCs/>
          <w:iCs/>
          <w:sz w:val="24"/>
          <w:szCs w:val="24"/>
          <w:lang w:eastAsia="ar-SA"/>
        </w:rPr>
        <w:br/>
        <w:t xml:space="preserve"> (</w:t>
      </w:r>
      <w:r w:rsidR="00DE1371">
        <w:rPr>
          <w:rFonts w:ascii="Arial" w:eastAsia="Times New Roman" w:hAnsi="Arial" w:cs="Arial"/>
          <w:bCs/>
          <w:iCs/>
          <w:sz w:val="24"/>
          <w:szCs w:val="24"/>
          <w:lang w:eastAsia="ar-SA"/>
        </w:rPr>
        <w:t>b</w:t>
      </w:r>
      <w:r w:rsidRPr="00F10DCE">
        <w:rPr>
          <w:rFonts w:ascii="Arial" w:eastAsia="Times New Roman" w:hAnsi="Arial" w:cs="Arial"/>
          <w:bCs/>
          <w:iCs/>
          <w:sz w:val="24"/>
          <w:szCs w:val="24"/>
          <w:lang w:eastAsia="ar-SA"/>
        </w:rPr>
        <w:t>) it is unlikely that a claimant would see the advertisements;</w:t>
      </w:r>
    </w:p>
    <w:p w14:paraId="26A90E6B" w14:textId="38506AAA" w:rsidR="00DE1371" w:rsidRDefault="00DE1371" w:rsidP="00C16480">
      <w:pPr>
        <w:spacing w:before="100" w:beforeAutospacing="1" w:after="100" w:afterAutospacing="1" w:line="240" w:lineRule="auto"/>
        <w:ind w:left="1440"/>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 xml:space="preserve">Both of these cases were very different from the standard administration: </w:t>
      </w:r>
      <w:r w:rsidRPr="00DE1371">
        <w:rPr>
          <w:rFonts w:ascii="Arial" w:eastAsia="Times New Roman" w:hAnsi="Arial" w:cs="Arial"/>
          <w:b/>
          <w:i/>
          <w:sz w:val="24"/>
          <w:szCs w:val="24"/>
          <w:lang w:eastAsia="ar-SA"/>
        </w:rPr>
        <w:t>Re Yorke</w:t>
      </w:r>
      <w:r>
        <w:rPr>
          <w:rFonts w:ascii="Arial" w:eastAsia="Times New Roman" w:hAnsi="Arial" w:cs="Arial"/>
          <w:bCs/>
          <w:iCs/>
          <w:sz w:val="24"/>
          <w:szCs w:val="24"/>
          <w:lang w:eastAsia="ar-SA"/>
        </w:rPr>
        <w:t xml:space="preserve"> was a deceased Lloyds name with huge contingent liabilities and </w:t>
      </w:r>
      <w:r w:rsidRPr="00DE1371">
        <w:rPr>
          <w:rFonts w:ascii="Arial" w:eastAsia="Times New Roman" w:hAnsi="Arial" w:cs="Arial"/>
          <w:b/>
          <w:i/>
          <w:sz w:val="24"/>
          <w:szCs w:val="24"/>
          <w:lang w:eastAsia="ar-SA"/>
        </w:rPr>
        <w:t>Studdert</w:t>
      </w:r>
      <w:r>
        <w:rPr>
          <w:rFonts w:ascii="Arial" w:eastAsia="Times New Roman" w:hAnsi="Arial" w:cs="Arial"/>
          <w:bCs/>
          <w:iCs/>
          <w:sz w:val="24"/>
          <w:szCs w:val="24"/>
          <w:lang w:eastAsia="ar-SA"/>
        </w:rPr>
        <w:t xml:space="preserve"> was a case of possible historic sexual abuse overseas. In both cases there were grounds for the PRs to believe that liabilities might exist although they had no knowledge of particular individuals.</w:t>
      </w:r>
    </w:p>
    <w:p w14:paraId="0018CABD" w14:textId="3C02001E" w:rsidR="00DE1371" w:rsidRDefault="00DE1371" w:rsidP="00C16480">
      <w:pPr>
        <w:spacing w:before="100" w:beforeAutospacing="1" w:after="100" w:afterAutospacing="1" w:line="240" w:lineRule="auto"/>
        <w:ind w:left="1440"/>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 xml:space="preserve">In </w:t>
      </w:r>
      <w:r w:rsidRPr="009A0584">
        <w:rPr>
          <w:rFonts w:ascii="Arial" w:eastAsia="Times New Roman" w:hAnsi="Arial" w:cs="Arial"/>
          <w:b/>
          <w:i/>
          <w:sz w:val="24"/>
          <w:szCs w:val="24"/>
          <w:lang w:eastAsia="ar-SA"/>
        </w:rPr>
        <w:t>Re Yorke</w:t>
      </w:r>
      <w:r>
        <w:rPr>
          <w:rFonts w:ascii="Arial" w:eastAsia="Times New Roman" w:hAnsi="Arial" w:cs="Arial"/>
          <w:bCs/>
          <w:iCs/>
          <w:sz w:val="24"/>
          <w:szCs w:val="24"/>
          <w:lang w:eastAsia="ar-SA"/>
        </w:rPr>
        <w:t xml:space="preserve"> Lind</w:t>
      </w:r>
      <w:r w:rsidR="009A0584">
        <w:rPr>
          <w:rFonts w:ascii="Arial" w:eastAsia="Times New Roman" w:hAnsi="Arial" w:cs="Arial"/>
          <w:bCs/>
          <w:iCs/>
          <w:sz w:val="24"/>
          <w:szCs w:val="24"/>
          <w:lang w:eastAsia="ar-SA"/>
        </w:rPr>
        <w:t>s</w:t>
      </w:r>
      <w:r>
        <w:rPr>
          <w:rFonts w:ascii="Arial" w:eastAsia="Times New Roman" w:hAnsi="Arial" w:cs="Arial"/>
          <w:bCs/>
          <w:iCs/>
          <w:sz w:val="24"/>
          <w:szCs w:val="24"/>
          <w:lang w:eastAsia="ar-SA"/>
        </w:rPr>
        <w:t>ay J said at p918:</w:t>
      </w:r>
    </w:p>
    <w:p w14:paraId="01C24007" w14:textId="190CF3DF" w:rsidR="00DE1371" w:rsidRDefault="00DE1371" w:rsidP="00C16480">
      <w:pPr>
        <w:spacing w:before="100" w:beforeAutospacing="1" w:after="100" w:afterAutospacing="1" w:line="240" w:lineRule="auto"/>
        <w:ind w:left="2160"/>
        <w:jc w:val="both"/>
        <w:rPr>
          <w:rFonts w:ascii="Arial" w:eastAsia="Times New Roman" w:hAnsi="Arial" w:cs="Arial"/>
          <w:bCs/>
          <w:i/>
          <w:sz w:val="24"/>
          <w:szCs w:val="24"/>
          <w:lang w:eastAsia="ar-SA"/>
        </w:rPr>
      </w:pPr>
      <w:r w:rsidRPr="00DE1371">
        <w:rPr>
          <w:rFonts w:ascii="Arial" w:eastAsia="Times New Roman" w:hAnsi="Arial" w:cs="Arial"/>
          <w:bCs/>
          <w:i/>
          <w:sz w:val="24"/>
          <w:szCs w:val="24"/>
          <w:lang w:eastAsia="ar-SA"/>
        </w:rPr>
        <w:t xml:space="preserve">“It is possible to find dicta which suggest even with respect to contingent creditors, that, should they not come in and claim in response to advertisement, then their only remedy would thereafter be against the legatees and that their remedy against the executors personally would have gone: Waller v Barrett (1857) 24 Beav 413, 53 ER 417. Such a view not only conflicts, in my judgment, with the earlier broad approach in such cases as </w:t>
      </w:r>
      <w:r w:rsidRPr="00DE1371">
        <w:rPr>
          <w:rFonts w:ascii="Arial" w:eastAsia="Times New Roman" w:hAnsi="Arial" w:cs="Arial"/>
          <w:bCs/>
          <w:i/>
          <w:sz w:val="24"/>
          <w:szCs w:val="24"/>
          <w:lang w:eastAsia="ar-SA"/>
        </w:rPr>
        <w:lastRenderedPageBreak/>
        <w:t>Knatchbull v Fearnhead and Hawkins v Day (where the executors' ignorance of the claims was no defence) but with basic notions of justice and common sense. Especially is that so in the context of claims against a Lloyd's name where a policyholder (who could be anywhere in the world) could not reasonably be expected to know, at the time of any advertisement, even if it came to his notice or could be expected to have done so, that he had or might have a claim against some particular deceased.”</w:t>
      </w:r>
    </w:p>
    <w:p w14:paraId="399F0039" w14:textId="1FBDAB20" w:rsidR="009A0584" w:rsidRDefault="009A0584" w:rsidP="00C16480">
      <w:pPr>
        <w:spacing w:before="100" w:beforeAutospacing="1" w:after="100" w:afterAutospacing="1" w:line="240" w:lineRule="auto"/>
        <w:ind w:left="1440"/>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 xml:space="preserve">In </w:t>
      </w:r>
      <w:r>
        <w:rPr>
          <w:rFonts w:ascii="Arial" w:eastAsia="Times New Roman" w:hAnsi="Arial" w:cs="Arial"/>
          <w:b/>
          <w:i/>
          <w:sz w:val="24"/>
          <w:szCs w:val="24"/>
          <w:lang w:eastAsia="ar-SA"/>
        </w:rPr>
        <w:t>Studdert</w:t>
      </w:r>
      <w:r>
        <w:rPr>
          <w:rFonts w:ascii="Arial" w:eastAsia="Times New Roman" w:hAnsi="Arial" w:cs="Arial"/>
          <w:bCs/>
          <w:iCs/>
          <w:sz w:val="24"/>
          <w:szCs w:val="24"/>
          <w:lang w:eastAsia="ar-SA"/>
        </w:rPr>
        <w:t xml:space="preserve"> Chief Master Marsh also accepted at [10] that there are be cases where s27 will not protect PRSs:</w:t>
      </w:r>
    </w:p>
    <w:p w14:paraId="5E0B4C56" w14:textId="4081E00A" w:rsidR="009A0584" w:rsidRDefault="009A0584" w:rsidP="00C16480">
      <w:pPr>
        <w:spacing w:before="100" w:beforeAutospacing="1" w:after="100" w:afterAutospacing="1" w:line="240" w:lineRule="auto"/>
        <w:ind w:left="2160"/>
        <w:jc w:val="both"/>
        <w:rPr>
          <w:rFonts w:ascii="Arial" w:eastAsia="Times New Roman" w:hAnsi="Arial" w:cs="Arial"/>
          <w:bCs/>
          <w:i/>
          <w:sz w:val="24"/>
          <w:szCs w:val="24"/>
          <w:lang w:eastAsia="ar-SA"/>
        </w:rPr>
      </w:pPr>
      <w:r>
        <w:rPr>
          <w:rFonts w:ascii="Arial" w:eastAsia="Times New Roman" w:hAnsi="Arial" w:cs="Arial"/>
          <w:bCs/>
          <w:i/>
          <w:sz w:val="24"/>
          <w:szCs w:val="24"/>
          <w:lang w:eastAsia="ar-SA"/>
        </w:rPr>
        <w:t>“</w:t>
      </w:r>
      <w:r w:rsidRPr="009A0584">
        <w:rPr>
          <w:rFonts w:ascii="Arial" w:eastAsia="Times New Roman" w:hAnsi="Arial" w:cs="Arial"/>
          <w:bCs/>
          <w:i/>
          <w:sz w:val="24"/>
          <w:szCs w:val="24"/>
          <w:lang w:eastAsia="ar-SA"/>
        </w:rPr>
        <w:t xml:space="preserve">The protection afforded by section 27 of the Trustee Act 1925 is a secondary consideration. In this case it became clear that although the claimants had placed the statutory form of advertisement in the media, there were two additional points to be considered. </w:t>
      </w:r>
    </w:p>
    <w:p w14:paraId="27416E80" w14:textId="77777777" w:rsidR="009A0584" w:rsidRDefault="009A0584" w:rsidP="00C16480">
      <w:pPr>
        <w:spacing w:before="100" w:beforeAutospacing="1" w:after="100" w:afterAutospacing="1" w:line="240" w:lineRule="auto"/>
        <w:ind w:left="2160"/>
        <w:jc w:val="both"/>
        <w:rPr>
          <w:rFonts w:ascii="Arial" w:eastAsia="Times New Roman" w:hAnsi="Arial" w:cs="Arial"/>
          <w:bCs/>
          <w:i/>
          <w:sz w:val="24"/>
          <w:szCs w:val="24"/>
          <w:lang w:eastAsia="ar-SA"/>
        </w:rPr>
      </w:pPr>
      <w:r w:rsidRPr="009A0584">
        <w:rPr>
          <w:rFonts w:ascii="Arial" w:eastAsia="Times New Roman" w:hAnsi="Arial" w:cs="Arial"/>
          <w:bCs/>
          <w:i/>
          <w:sz w:val="24"/>
          <w:szCs w:val="24"/>
          <w:lang w:eastAsia="ar-SA"/>
        </w:rPr>
        <w:t xml:space="preserve">First, the prospect of the advertisement being seen, let alone acted on, by victims of historic abuse, were extremely slight. </w:t>
      </w:r>
    </w:p>
    <w:p w14:paraId="20F47A2B" w14:textId="42689876" w:rsidR="009A0584" w:rsidRPr="00DE1371" w:rsidRDefault="009A0584" w:rsidP="00C16480">
      <w:pPr>
        <w:spacing w:before="100" w:beforeAutospacing="1" w:after="100" w:afterAutospacing="1" w:line="240" w:lineRule="auto"/>
        <w:ind w:left="2160"/>
        <w:jc w:val="both"/>
        <w:rPr>
          <w:rFonts w:ascii="Arial" w:eastAsia="Times New Roman" w:hAnsi="Arial" w:cs="Arial"/>
          <w:bCs/>
          <w:i/>
          <w:sz w:val="24"/>
          <w:szCs w:val="24"/>
          <w:lang w:eastAsia="ar-SA"/>
        </w:rPr>
      </w:pPr>
      <w:r w:rsidRPr="009A0584">
        <w:rPr>
          <w:rFonts w:ascii="Arial" w:eastAsia="Times New Roman" w:hAnsi="Arial" w:cs="Arial"/>
          <w:bCs/>
          <w:i/>
          <w:sz w:val="24"/>
          <w:szCs w:val="24"/>
          <w:lang w:eastAsia="ar-SA"/>
        </w:rPr>
        <w:t>Secondly, the protection afforded by section 27 is, or at least may be, limited. It provides in subsection (2) that the personal representatives “… shall not … be liable to any person of whose claim the … personal representatives have not had notice …” provided they have advertised in the form required by the Act. It is unclear whether they would be treated as having notice of a class of claims which they believe may exist in relation to which the identity of the possible claimants is unknown. Indeed, there remains the possibility that the estate is insolvent.</w:t>
      </w:r>
      <w:r>
        <w:rPr>
          <w:rFonts w:ascii="Arial" w:eastAsia="Times New Roman" w:hAnsi="Arial" w:cs="Arial"/>
          <w:bCs/>
          <w:i/>
          <w:sz w:val="24"/>
          <w:szCs w:val="24"/>
          <w:lang w:eastAsia="ar-SA"/>
        </w:rPr>
        <w:t>”</w:t>
      </w:r>
    </w:p>
    <w:p w14:paraId="6D21B4C6" w14:textId="024C5CBE" w:rsidR="00123D5B" w:rsidRPr="00DE1371" w:rsidRDefault="009A0584" w:rsidP="00C16480">
      <w:pPr>
        <w:pStyle w:val="ListParagraph"/>
        <w:numPr>
          <w:ilvl w:val="0"/>
          <w:numId w:val="34"/>
        </w:numPr>
        <w:ind w:hanging="731"/>
        <w:jc w:val="both"/>
        <w:rPr>
          <w:rFonts w:ascii="Arial" w:eastAsia="Times New Roman" w:hAnsi="Arial" w:cs="Arial"/>
          <w:bCs/>
          <w:iCs/>
          <w:sz w:val="24"/>
          <w:szCs w:val="24"/>
          <w:lang w:eastAsia="ar-SA"/>
        </w:rPr>
      </w:pPr>
      <w:r>
        <w:rPr>
          <w:rFonts w:ascii="Arial" w:eastAsia="Times New Roman" w:hAnsi="Arial" w:cs="Arial"/>
          <w:bCs/>
          <w:iCs/>
          <w:sz w:val="24"/>
          <w:szCs w:val="24"/>
          <w:lang w:eastAsia="ar-SA"/>
        </w:rPr>
        <w:t>A much more general problem with s27, however, is that while it protects the PRs, any unpaid cl</w:t>
      </w:r>
      <w:r w:rsidR="00F10DCE" w:rsidRPr="00DE1371">
        <w:rPr>
          <w:rFonts w:ascii="Arial" w:eastAsia="Times New Roman" w:hAnsi="Arial" w:cs="Arial"/>
          <w:bCs/>
          <w:iCs/>
          <w:sz w:val="24"/>
          <w:szCs w:val="24"/>
          <w:lang w:eastAsia="ar-SA"/>
        </w:rPr>
        <w:t>aimant</w:t>
      </w:r>
      <w:r>
        <w:rPr>
          <w:rFonts w:ascii="Arial" w:eastAsia="Times New Roman" w:hAnsi="Arial" w:cs="Arial"/>
          <w:bCs/>
          <w:iCs/>
          <w:sz w:val="24"/>
          <w:szCs w:val="24"/>
          <w:lang w:eastAsia="ar-SA"/>
        </w:rPr>
        <w:t>s</w:t>
      </w:r>
      <w:r w:rsidR="00F10DCE" w:rsidRPr="00DE1371">
        <w:rPr>
          <w:rFonts w:ascii="Arial" w:eastAsia="Times New Roman" w:hAnsi="Arial" w:cs="Arial"/>
          <w:bCs/>
          <w:iCs/>
          <w:sz w:val="24"/>
          <w:szCs w:val="24"/>
          <w:lang w:eastAsia="ar-SA"/>
        </w:rPr>
        <w:t xml:space="preserve"> can follow estate assets into </w:t>
      </w:r>
      <w:r>
        <w:rPr>
          <w:rFonts w:ascii="Arial" w:eastAsia="Times New Roman" w:hAnsi="Arial" w:cs="Arial"/>
          <w:bCs/>
          <w:iCs/>
          <w:sz w:val="24"/>
          <w:szCs w:val="24"/>
          <w:lang w:eastAsia="ar-SA"/>
        </w:rPr>
        <w:t xml:space="preserve">the </w:t>
      </w:r>
      <w:r w:rsidR="00F10DCE" w:rsidRPr="00DE1371">
        <w:rPr>
          <w:rFonts w:ascii="Arial" w:eastAsia="Times New Roman" w:hAnsi="Arial" w:cs="Arial"/>
          <w:bCs/>
          <w:iCs/>
          <w:sz w:val="24"/>
          <w:szCs w:val="24"/>
          <w:lang w:eastAsia="ar-SA"/>
        </w:rPr>
        <w:t>hands of beneficiaries.</w:t>
      </w:r>
      <w:r>
        <w:rPr>
          <w:rFonts w:ascii="Arial" w:eastAsia="Times New Roman" w:hAnsi="Arial" w:cs="Arial"/>
          <w:bCs/>
          <w:iCs/>
          <w:sz w:val="24"/>
          <w:szCs w:val="24"/>
          <w:lang w:eastAsia="ar-SA"/>
        </w:rPr>
        <w:t xml:space="preserve"> It is human nature to be very much more aggrieved by the loss of something as opposed to being told in advance that there are liabilities that have to be paid. In the interests of harmony it is better to search for liabilities before they crawl out of the woodwork.</w:t>
      </w:r>
      <w:r w:rsidR="00123D5B" w:rsidRPr="00DE1371">
        <w:rPr>
          <w:rFonts w:ascii="Arial" w:eastAsia="Times New Roman" w:hAnsi="Arial" w:cs="Arial"/>
          <w:bCs/>
          <w:iCs/>
          <w:sz w:val="24"/>
          <w:szCs w:val="24"/>
          <w:lang w:eastAsia="ar-SA"/>
        </w:rPr>
        <w:br w:type="page"/>
      </w:r>
    </w:p>
    <w:p w14:paraId="085813E5" w14:textId="0868CB3B" w:rsidR="00A92078" w:rsidRPr="001E0D27" w:rsidRDefault="009A0584" w:rsidP="009A058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eastAsia="Times New Roman" w:hAnsi="Arial" w:cs="Arial"/>
          <w:b/>
          <w:iCs/>
          <w:sz w:val="24"/>
          <w:szCs w:val="24"/>
          <w:lang w:eastAsia="ar-SA"/>
        </w:rPr>
      </w:pPr>
      <w:r>
        <w:rPr>
          <w:rFonts w:ascii="Arial" w:eastAsia="Times New Roman" w:hAnsi="Arial" w:cs="Arial"/>
          <w:b/>
          <w:iCs/>
          <w:sz w:val="24"/>
          <w:szCs w:val="24"/>
          <w:lang w:eastAsia="ar-SA"/>
        </w:rPr>
        <w:lastRenderedPageBreak/>
        <w:t>V.</w:t>
      </w:r>
      <w:r w:rsidR="001E0D27" w:rsidRPr="001E0D27">
        <w:rPr>
          <w:rFonts w:ascii="Arial" w:eastAsia="Times New Roman" w:hAnsi="Arial" w:cs="Arial"/>
          <w:b/>
          <w:iCs/>
          <w:sz w:val="24"/>
          <w:szCs w:val="24"/>
          <w:lang w:eastAsia="ar-SA"/>
        </w:rPr>
        <w:tab/>
      </w:r>
      <w:r w:rsidRPr="001E0D27">
        <w:rPr>
          <w:rFonts w:ascii="Arial" w:eastAsia="Times New Roman" w:hAnsi="Arial" w:cs="Arial"/>
          <w:b/>
          <w:iCs/>
          <w:sz w:val="24"/>
          <w:szCs w:val="24"/>
          <w:lang w:eastAsia="ar-SA"/>
        </w:rPr>
        <w:t>LIMITATIONS OF POST-DEATH VARIATIONS</w:t>
      </w:r>
    </w:p>
    <w:p w14:paraId="5C5B3B24" w14:textId="77777777" w:rsidR="009A0584" w:rsidRDefault="009A0584" w:rsidP="009A0584">
      <w:pPr>
        <w:spacing w:before="100" w:beforeAutospacing="1" w:after="100" w:afterAutospacing="1" w:line="240" w:lineRule="auto"/>
        <w:jc w:val="both"/>
        <w:rPr>
          <w:rFonts w:ascii="Arial" w:eastAsia="Calibri" w:hAnsi="Arial" w:cs="Arial"/>
          <w:sz w:val="24"/>
        </w:rPr>
      </w:pPr>
      <w:r w:rsidRPr="00967117">
        <w:rPr>
          <w:rFonts w:ascii="Arial" w:eastAsia="Calibri" w:hAnsi="Arial" w:cs="Arial"/>
          <w:b/>
          <w:bCs/>
          <w:sz w:val="24"/>
        </w:rPr>
        <w:t>1.</w:t>
      </w:r>
      <w:r>
        <w:rPr>
          <w:rFonts w:ascii="Arial" w:eastAsia="Calibri" w:hAnsi="Arial" w:cs="Arial"/>
          <w:sz w:val="24"/>
        </w:rPr>
        <w:tab/>
      </w:r>
      <w:r w:rsidRPr="009A0584">
        <w:rPr>
          <w:rFonts w:ascii="Arial" w:eastAsia="Calibri" w:hAnsi="Arial" w:cs="Arial"/>
          <w:b/>
          <w:bCs/>
          <w:sz w:val="24"/>
        </w:rPr>
        <w:t>Reading back is only for purposes of IHT and CGT</w:t>
      </w:r>
    </w:p>
    <w:p w14:paraId="7CA3CC83" w14:textId="5DE95B2A" w:rsidR="001E0D27" w:rsidRPr="00231A97" w:rsidRDefault="001E0D27" w:rsidP="00967117">
      <w:pPr>
        <w:spacing w:before="100" w:beforeAutospacing="1" w:after="100" w:afterAutospacing="1" w:line="240" w:lineRule="auto"/>
        <w:ind w:left="720"/>
        <w:jc w:val="both"/>
        <w:rPr>
          <w:rFonts w:ascii="Arial" w:eastAsia="Calibri" w:hAnsi="Arial" w:cs="Arial"/>
          <w:sz w:val="24"/>
        </w:rPr>
      </w:pPr>
      <w:r w:rsidRPr="00231A97">
        <w:rPr>
          <w:rFonts w:ascii="Arial" w:eastAsia="Calibri" w:hAnsi="Arial" w:cs="Arial"/>
          <w:sz w:val="24"/>
        </w:rPr>
        <w:t>Where the statutory provisions apply the reading back is effective only for the purposes of IHT and/or CGT and for no other purpose. It is important not to overlook this.</w:t>
      </w:r>
    </w:p>
    <w:p w14:paraId="32E9A8E3" w14:textId="77777777" w:rsidR="001E0D27" w:rsidRPr="00231A97" w:rsidRDefault="001E0D27" w:rsidP="00967117">
      <w:pPr>
        <w:keepNext/>
        <w:keepLines/>
        <w:spacing w:before="100" w:beforeAutospacing="1" w:after="120" w:line="240" w:lineRule="auto"/>
        <w:ind w:left="1089" w:firstLine="363"/>
        <w:jc w:val="both"/>
        <w:outlineLvl w:val="2"/>
        <w:rPr>
          <w:rFonts w:ascii="Arial" w:eastAsia="Times New Roman" w:hAnsi="Arial" w:cs="Times New Roman"/>
          <w:b/>
          <w:sz w:val="24"/>
          <w:szCs w:val="24"/>
        </w:rPr>
      </w:pPr>
      <w:r w:rsidRPr="00231A97">
        <w:rPr>
          <w:rFonts w:ascii="Arial" w:eastAsia="Times New Roman" w:hAnsi="Arial" w:cs="Times New Roman"/>
          <w:b/>
          <w:sz w:val="24"/>
          <w:szCs w:val="24"/>
        </w:rPr>
        <w:t>Example</w:t>
      </w:r>
    </w:p>
    <w:p w14:paraId="4900EA80" w14:textId="77777777" w:rsidR="001E0D27" w:rsidRPr="00231A97" w:rsidRDefault="001E0D27" w:rsidP="00967117">
      <w:pPr>
        <w:spacing w:before="120" w:after="100" w:afterAutospacing="1" w:line="240" w:lineRule="auto"/>
        <w:ind w:left="1452"/>
        <w:jc w:val="both"/>
        <w:rPr>
          <w:rFonts w:ascii="Arial" w:eastAsia="Calibri" w:hAnsi="Arial" w:cs="Arial"/>
          <w:sz w:val="24"/>
        </w:rPr>
      </w:pPr>
      <w:r w:rsidRPr="00231A97">
        <w:rPr>
          <w:rFonts w:ascii="Arial" w:eastAsia="Calibri" w:hAnsi="Arial" w:cs="Arial"/>
          <w:sz w:val="24"/>
        </w:rPr>
        <w:t xml:space="preserve">Sally inherits an investment property from her brother, Ben, and wants to vary the disposition of Ben’s estate to leave the property to her adult daughter, Diana. </w:t>
      </w:r>
    </w:p>
    <w:p w14:paraId="433108C4" w14:textId="77777777" w:rsidR="001E0D27" w:rsidRPr="00231A97" w:rsidRDefault="001E0D27" w:rsidP="00967117">
      <w:pPr>
        <w:spacing w:before="120" w:after="100" w:afterAutospacing="1" w:line="240" w:lineRule="auto"/>
        <w:ind w:left="1452"/>
        <w:jc w:val="both"/>
        <w:rPr>
          <w:rFonts w:ascii="Arial" w:eastAsia="Calibri" w:hAnsi="Arial" w:cs="Arial"/>
          <w:sz w:val="24"/>
        </w:rPr>
      </w:pPr>
      <w:r w:rsidRPr="00231A97">
        <w:rPr>
          <w:rFonts w:ascii="Arial" w:eastAsia="Calibri" w:hAnsi="Arial" w:cs="Arial"/>
          <w:sz w:val="24"/>
        </w:rPr>
        <w:t xml:space="preserve">Sally executes a deed of variation which declares that Ben is to be treated as leaving the property to Diana for IHT purposes (under IHTA 1984, s142) and for CGT purposes (under TCGA 1992, s62(6)). </w:t>
      </w:r>
    </w:p>
    <w:p w14:paraId="4B2A1FFE" w14:textId="77777777" w:rsidR="001E0D27" w:rsidRPr="00231A97" w:rsidRDefault="001E0D27" w:rsidP="00967117">
      <w:pPr>
        <w:spacing w:before="100" w:beforeAutospacing="1" w:after="100" w:afterAutospacing="1" w:line="240" w:lineRule="auto"/>
        <w:ind w:left="1452"/>
        <w:jc w:val="both"/>
        <w:rPr>
          <w:rFonts w:ascii="Arial" w:eastAsia="Calibri" w:hAnsi="Arial" w:cs="Arial"/>
          <w:sz w:val="24"/>
        </w:rPr>
      </w:pPr>
      <w:r w:rsidRPr="00231A97">
        <w:rPr>
          <w:rFonts w:ascii="Arial" w:eastAsia="Calibri" w:hAnsi="Arial" w:cs="Arial"/>
          <w:sz w:val="24"/>
        </w:rPr>
        <w:t>For all other purposes Sally will be regarded as having given away the investment property. So:</w:t>
      </w:r>
    </w:p>
    <w:p w14:paraId="2A1A367B" w14:textId="77777777" w:rsidR="001E0D27" w:rsidRPr="00231A97" w:rsidRDefault="001E0D27" w:rsidP="00967117">
      <w:pPr>
        <w:widowControl w:val="0"/>
        <w:numPr>
          <w:ilvl w:val="0"/>
          <w:numId w:val="7"/>
        </w:numPr>
        <w:suppressAutoHyphens/>
        <w:autoSpaceDE w:val="0"/>
        <w:spacing w:before="100" w:beforeAutospacing="1" w:after="100" w:afterAutospacing="1" w:line="240" w:lineRule="auto"/>
        <w:ind w:left="2286" w:hanging="851"/>
        <w:contextualSpacing/>
        <w:jc w:val="both"/>
        <w:rPr>
          <w:rFonts w:ascii="Arial" w:eastAsia="Calibri" w:hAnsi="Arial" w:cs="Arial"/>
          <w:sz w:val="24"/>
        </w:rPr>
      </w:pPr>
      <w:r w:rsidRPr="00231A97">
        <w:rPr>
          <w:rFonts w:ascii="Arial" w:eastAsia="Calibri" w:hAnsi="Arial" w:cs="Arial"/>
          <w:sz w:val="24"/>
        </w:rPr>
        <w:t>She will remain liable for income tax on any income accruing in the period from death till the date of the variation.</w:t>
      </w:r>
    </w:p>
    <w:p w14:paraId="4AA8D30A" w14:textId="77777777" w:rsidR="001E0D27" w:rsidRPr="00231A97" w:rsidRDefault="001E0D27" w:rsidP="00967117">
      <w:pPr>
        <w:spacing w:before="100" w:beforeAutospacing="1" w:after="100" w:afterAutospacing="1" w:line="240" w:lineRule="auto"/>
        <w:ind w:left="2286" w:hanging="851"/>
        <w:contextualSpacing/>
        <w:jc w:val="both"/>
        <w:rPr>
          <w:rFonts w:ascii="Arial" w:eastAsia="Calibri" w:hAnsi="Arial" w:cs="Arial"/>
          <w:sz w:val="24"/>
        </w:rPr>
      </w:pPr>
    </w:p>
    <w:p w14:paraId="49B515FA" w14:textId="77777777" w:rsidR="001E0D27" w:rsidRPr="00231A97" w:rsidRDefault="001E0D27" w:rsidP="00967117">
      <w:pPr>
        <w:widowControl w:val="0"/>
        <w:numPr>
          <w:ilvl w:val="0"/>
          <w:numId w:val="7"/>
        </w:numPr>
        <w:suppressAutoHyphens/>
        <w:autoSpaceDE w:val="0"/>
        <w:spacing w:before="100" w:beforeAutospacing="1" w:after="100" w:afterAutospacing="1" w:line="240" w:lineRule="auto"/>
        <w:ind w:left="2286" w:hanging="851"/>
        <w:contextualSpacing/>
        <w:jc w:val="both"/>
        <w:rPr>
          <w:rFonts w:ascii="Arial" w:eastAsia="Calibri" w:hAnsi="Arial" w:cs="Arial"/>
          <w:sz w:val="24"/>
        </w:rPr>
      </w:pPr>
      <w:r w:rsidRPr="00231A97">
        <w:rPr>
          <w:rFonts w:ascii="Arial" w:eastAsia="Calibri" w:hAnsi="Arial" w:cs="Arial"/>
          <w:sz w:val="24"/>
        </w:rPr>
        <w:t xml:space="preserve">If an issue arises about care home fees at a later date, a local authority could legitimately raise the question of deliberate deprivation of assets in relation to the variation. </w:t>
      </w:r>
    </w:p>
    <w:p w14:paraId="4318EE83" w14:textId="77777777" w:rsidR="001E0D27" w:rsidRPr="00231A97" w:rsidRDefault="001E0D27" w:rsidP="00967117">
      <w:pPr>
        <w:spacing w:before="100" w:beforeAutospacing="1" w:after="100" w:afterAutospacing="1" w:line="240" w:lineRule="auto"/>
        <w:ind w:left="2286" w:hanging="851"/>
        <w:contextualSpacing/>
        <w:jc w:val="both"/>
        <w:rPr>
          <w:rFonts w:ascii="Arial" w:eastAsia="Calibri" w:hAnsi="Arial" w:cs="Arial"/>
          <w:sz w:val="24"/>
        </w:rPr>
      </w:pPr>
    </w:p>
    <w:p w14:paraId="2E82F780" w14:textId="4E7C59AD" w:rsidR="001E0D27" w:rsidRDefault="001E0D27" w:rsidP="00967117">
      <w:pPr>
        <w:spacing w:before="100" w:beforeAutospacing="1" w:after="100" w:afterAutospacing="1" w:line="240" w:lineRule="auto"/>
        <w:ind w:left="2166"/>
        <w:contextualSpacing/>
        <w:jc w:val="both"/>
        <w:rPr>
          <w:rFonts w:ascii="Arial" w:eastAsia="Calibri" w:hAnsi="Arial" w:cs="Arial"/>
          <w:sz w:val="24"/>
        </w:rPr>
      </w:pPr>
      <w:r w:rsidRPr="00231A97">
        <w:rPr>
          <w:rFonts w:ascii="Arial" w:eastAsia="Calibri" w:hAnsi="Arial" w:cs="Arial"/>
          <w:sz w:val="24"/>
        </w:rPr>
        <w:t>The ‘</w:t>
      </w:r>
      <w:r w:rsidRPr="00231A97">
        <w:rPr>
          <w:rFonts w:ascii="Arial" w:eastAsia="Calibri" w:hAnsi="Arial" w:cs="Arial"/>
          <w:i/>
          <w:sz w:val="24"/>
        </w:rPr>
        <w:t>Care and Support Statutory Guidance 2014’</w:t>
      </w:r>
      <w:r w:rsidRPr="00231A97">
        <w:rPr>
          <w:rFonts w:ascii="Arial" w:eastAsia="Calibri" w:hAnsi="Arial" w:cs="Arial"/>
          <w:sz w:val="24"/>
        </w:rPr>
        <w:t xml:space="preserve"> Annex E para 11(a) says that there is deliberate deprivation where avoiding care charges was ‘</w:t>
      </w:r>
      <w:r w:rsidRPr="00231A97">
        <w:rPr>
          <w:rFonts w:ascii="Arial" w:eastAsia="Calibri" w:hAnsi="Arial" w:cs="Arial"/>
          <w:i/>
          <w:sz w:val="24"/>
        </w:rPr>
        <w:t>a significant motivation in the timing of the disposal of the asset’</w:t>
      </w:r>
      <w:r w:rsidRPr="00231A97">
        <w:rPr>
          <w:rFonts w:ascii="Arial" w:eastAsia="Calibri" w:hAnsi="Arial" w:cs="Arial"/>
          <w:sz w:val="24"/>
        </w:rPr>
        <w:t xml:space="preserve">. Where there is deliberate deprivation of assets, a local authority is entitled to regard the asset given away as part of a person’s notional capital. </w:t>
      </w:r>
    </w:p>
    <w:p w14:paraId="6876A19C" w14:textId="1214A774" w:rsidR="001E0D27" w:rsidRPr="001E0D27" w:rsidRDefault="001E0D27" w:rsidP="00967117">
      <w:pPr>
        <w:pStyle w:val="ListParagraph"/>
        <w:numPr>
          <w:ilvl w:val="0"/>
          <w:numId w:val="28"/>
        </w:numPr>
        <w:spacing w:before="100" w:beforeAutospacing="1" w:after="100" w:afterAutospacing="1" w:line="240" w:lineRule="auto"/>
        <w:ind w:left="2206" w:hanging="709"/>
        <w:jc w:val="both"/>
        <w:rPr>
          <w:rFonts w:ascii="Arial" w:eastAsia="Calibri" w:hAnsi="Arial" w:cs="Arial"/>
          <w:sz w:val="24"/>
        </w:rPr>
      </w:pPr>
      <w:r>
        <w:rPr>
          <w:rFonts w:ascii="Arial" w:eastAsia="Calibri" w:hAnsi="Arial" w:cs="Arial"/>
          <w:sz w:val="24"/>
        </w:rPr>
        <w:t>A similar issue arises in relation to means tested benefits</w:t>
      </w:r>
      <w:r w:rsidR="0060447B">
        <w:rPr>
          <w:rFonts w:ascii="Arial" w:eastAsia="Calibri" w:hAnsi="Arial" w:cs="Arial"/>
          <w:sz w:val="24"/>
        </w:rPr>
        <w:t>. See below</w:t>
      </w:r>
    </w:p>
    <w:p w14:paraId="6408ADD1" w14:textId="32AD1924" w:rsidR="001E0D27" w:rsidRPr="00231A97" w:rsidRDefault="0060447B" w:rsidP="00967117">
      <w:pPr>
        <w:spacing w:before="100" w:beforeAutospacing="1" w:after="100" w:afterAutospacing="1" w:line="240" w:lineRule="auto"/>
        <w:ind w:left="11" w:hanging="11"/>
        <w:jc w:val="both"/>
        <w:rPr>
          <w:rFonts w:ascii="Arial" w:eastAsia="Calibri" w:hAnsi="Arial" w:cs="Arial"/>
          <w:b/>
          <w:sz w:val="24"/>
        </w:rPr>
      </w:pPr>
      <w:r>
        <w:rPr>
          <w:rFonts w:ascii="Arial" w:eastAsia="Calibri" w:hAnsi="Arial" w:cs="Arial"/>
          <w:b/>
          <w:bCs/>
          <w:sz w:val="24"/>
        </w:rPr>
        <w:tab/>
        <w:t>2</w:t>
      </w:r>
      <w:r w:rsidR="001E0D27" w:rsidRPr="00231A97">
        <w:rPr>
          <w:rFonts w:ascii="Arial" w:eastAsia="Calibri" w:hAnsi="Arial" w:cs="Arial"/>
          <w:b/>
          <w:bCs/>
          <w:sz w:val="24"/>
        </w:rPr>
        <w:t>.</w:t>
      </w:r>
      <w:r w:rsidR="001E0D27" w:rsidRPr="00231A97">
        <w:rPr>
          <w:rFonts w:ascii="Arial" w:eastAsia="Calibri" w:hAnsi="Arial" w:cs="Arial"/>
          <w:b/>
          <w:bCs/>
          <w:sz w:val="24"/>
        </w:rPr>
        <w:tab/>
      </w:r>
      <w:r w:rsidR="001E0D27" w:rsidRPr="00231A97">
        <w:rPr>
          <w:rFonts w:ascii="Arial" w:eastAsia="Calibri" w:hAnsi="Arial" w:cs="Arial"/>
          <w:b/>
          <w:i/>
          <w:iCs/>
          <w:sz w:val="24"/>
        </w:rPr>
        <w:t>Barrs Residential &amp; Leisure Limited v Pleass Thomson</w:t>
      </w:r>
      <w:r w:rsidR="001E0D27" w:rsidRPr="00231A97">
        <w:rPr>
          <w:rFonts w:ascii="Arial" w:eastAsia="Calibri" w:hAnsi="Arial" w:cs="Arial"/>
          <w:b/>
          <w:sz w:val="24"/>
        </w:rPr>
        <w:t xml:space="preserve"> [2020] UKUT </w:t>
      </w:r>
      <w:r>
        <w:rPr>
          <w:rFonts w:ascii="Arial" w:eastAsia="Calibri" w:hAnsi="Arial" w:cs="Arial"/>
          <w:b/>
          <w:sz w:val="24"/>
        </w:rPr>
        <w:tab/>
      </w:r>
      <w:r w:rsidR="001E0D27" w:rsidRPr="00231A97">
        <w:rPr>
          <w:rFonts w:ascii="Arial" w:eastAsia="Calibri" w:hAnsi="Arial" w:cs="Arial"/>
          <w:b/>
          <w:sz w:val="24"/>
        </w:rPr>
        <w:t>114 (LC).</w:t>
      </w:r>
    </w:p>
    <w:p w14:paraId="03FDE0E2" w14:textId="6B44DAD1" w:rsidR="001E0D27" w:rsidRPr="00231A97" w:rsidRDefault="007A551D" w:rsidP="00967117">
      <w:pPr>
        <w:widowControl w:val="0"/>
        <w:suppressAutoHyphens/>
        <w:autoSpaceDE w:val="0"/>
        <w:spacing w:before="100" w:beforeAutospacing="1" w:after="100" w:afterAutospacing="1" w:line="240" w:lineRule="auto"/>
        <w:ind w:left="731" w:hanging="11"/>
        <w:jc w:val="both"/>
        <w:rPr>
          <w:rFonts w:ascii="Arial" w:eastAsia="Times New Roman" w:hAnsi="Arial" w:cs="Arial"/>
          <w:sz w:val="24"/>
          <w:szCs w:val="24"/>
          <w:lang w:val="en-US" w:eastAsia="ar-SA"/>
        </w:rPr>
      </w:pPr>
      <w:bookmarkStart w:id="9" w:name="_Hlk50729728"/>
      <w:r>
        <w:rPr>
          <w:rFonts w:ascii="Arial" w:eastAsia="Calibri" w:hAnsi="Arial" w:cs="Arial"/>
          <w:sz w:val="24"/>
        </w:rPr>
        <w:t xml:space="preserve">This case </w:t>
      </w:r>
      <w:r w:rsidR="001E0D27" w:rsidRPr="00231A97">
        <w:rPr>
          <w:rFonts w:ascii="Arial" w:eastAsia="Times New Roman" w:hAnsi="Arial" w:cs="Arial"/>
          <w:sz w:val="24"/>
          <w:szCs w:val="24"/>
          <w:lang w:val="en-US" w:eastAsia="ar-SA"/>
        </w:rPr>
        <w:t xml:space="preserve">concerned a mobile home. </w:t>
      </w:r>
      <w:bookmarkEnd w:id="9"/>
      <w:r w:rsidR="001E0D27" w:rsidRPr="00231A97">
        <w:rPr>
          <w:rFonts w:ascii="Arial" w:eastAsia="Times New Roman" w:hAnsi="Arial" w:cs="Arial"/>
          <w:sz w:val="24"/>
          <w:szCs w:val="24"/>
          <w:lang w:val="en-US" w:eastAsia="ar-SA"/>
        </w:rPr>
        <w:t>The benefit of a pitch agreement for a mobile home can only be transmitted on death to a close family member residing with the deceased or in default of any such person so residing, the person entitled to the mobile home by virtue of the deceased’s will or under the law relating to intestacy</w:t>
      </w:r>
      <w:r w:rsidR="001E0D27" w:rsidRPr="00231A97">
        <w:rPr>
          <w:rFonts w:ascii="Arial" w:eastAsia="Times New Roman" w:hAnsi="Arial" w:cs="Arial"/>
          <w:sz w:val="24"/>
          <w:szCs w:val="24"/>
          <w:vertAlign w:val="superscript"/>
          <w:lang w:val="en-US" w:eastAsia="ar-SA"/>
        </w:rPr>
        <w:footnoteReference w:id="1"/>
      </w:r>
      <w:r w:rsidR="001E0D27" w:rsidRPr="00231A97">
        <w:rPr>
          <w:rFonts w:ascii="Arial" w:eastAsia="Times New Roman" w:hAnsi="Arial" w:cs="Arial"/>
          <w:sz w:val="24"/>
          <w:szCs w:val="24"/>
          <w:lang w:val="en-US" w:eastAsia="ar-SA"/>
        </w:rPr>
        <w:t xml:space="preserve"> </w:t>
      </w:r>
      <w:r w:rsidR="001E0D27">
        <w:rPr>
          <w:rFonts w:ascii="Arial" w:eastAsia="Times New Roman" w:hAnsi="Arial" w:cs="Arial"/>
          <w:sz w:val="24"/>
          <w:szCs w:val="24"/>
          <w:lang w:val="en-US" w:eastAsia="ar-SA"/>
        </w:rPr>
        <w:t xml:space="preserve"> </w:t>
      </w:r>
    </w:p>
    <w:p w14:paraId="3DA8F16E" w14:textId="77777777" w:rsidR="001E0D27" w:rsidRPr="00231A97" w:rsidRDefault="001E0D27" w:rsidP="00967117">
      <w:pPr>
        <w:widowControl w:val="0"/>
        <w:suppressAutoHyphens/>
        <w:autoSpaceDE w:val="0"/>
        <w:spacing w:before="100" w:beforeAutospacing="1" w:after="100" w:afterAutospacing="1" w:line="240" w:lineRule="auto"/>
        <w:ind w:left="731" w:hanging="11"/>
        <w:jc w:val="both"/>
        <w:rPr>
          <w:rFonts w:ascii="Arial" w:eastAsia="Times New Roman" w:hAnsi="Arial" w:cs="Arial"/>
          <w:sz w:val="24"/>
          <w:szCs w:val="24"/>
          <w:lang w:val="en-US" w:eastAsia="ar-SA"/>
        </w:rPr>
      </w:pPr>
      <w:r w:rsidRPr="00231A97">
        <w:rPr>
          <w:rFonts w:ascii="Arial" w:eastAsia="Times New Roman" w:hAnsi="Arial" w:cs="Arial"/>
          <w:sz w:val="24"/>
          <w:szCs w:val="24"/>
          <w:lang w:val="en-US" w:eastAsia="ar-SA"/>
        </w:rPr>
        <w:t xml:space="preserve">In this case the deceased’s will was varied to give his son the mobile home. It was accepted that although the variation passed the mobile home itself to the </w:t>
      </w:r>
      <w:r w:rsidRPr="00231A97">
        <w:rPr>
          <w:rFonts w:ascii="Arial" w:eastAsia="Times New Roman" w:hAnsi="Arial" w:cs="Arial"/>
          <w:sz w:val="24"/>
          <w:szCs w:val="24"/>
          <w:lang w:val="en-US" w:eastAsia="ar-SA"/>
        </w:rPr>
        <w:lastRenderedPageBreak/>
        <w:t>son, that did not mean that he was a beneficiary under the terms of the deceased’s will for the purposes of the legislation. A variation is only treated as the deceased’s disposition for the purposes of IHT and CGT. Hence, the son acquired no right to the pitch agreement, the benefit of which remained with the executor.</w:t>
      </w:r>
    </w:p>
    <w:p w14:paraId="589AEE84" w14:textId="17C2779C" w:rsidR="001E0D27" w:rsidRPr="0060447B" w:rsidRDefault="00967117" w:rsidP="00967117">
      <w:pPr>
        <w:spacing w:before="100" w:beforeAutospacing="1" w:after="100" w:afterAutospacing="1" w:line="240" w:lineRule="auto"/>
        <w:jc w:val="both"/>
        <w:rPr>
          <w:rFonts w:ascii="Arial" w:eastAsia="Times New Roman" w:hAnsi="Arial" w:cs="Arial"/>
          <w:bCs/>
          <w:iCs/>
          <w:sz w:val="24"/>
          <w:szCs w:val="24"/>
          <w:lang w:eastAsia="ar-SA"/>
        </w:rPr>
      </w:pPr>
      <w:r>
        <w:rPr>
          <w:rFonts w:ascii="Arial" w:eastAsia="Times New Roman" w:hAnsi="Arial" w:cs="Arial"/>
          <w:b/>
          <w:iCs/>
          <w:sz w:val="24"/>
          <w:szCs w:val="24"/>
          <w:lang w:eastAsia="ar-SA"/>
        </w:rPr>
        <w:t>3</w:t>
      </w:r>
      <w:r w:rsidR="0060447B" w:rsidRPr="0060447B">
        <w:rPr>
          <w:rFonts w:ascii="Arial" w:eastAsia="Times New Roman" w:hAnsi="Arial" w:cs="Arial"/>
          <w:b/>
          <w:iCs/>
          <w:sz w:val="24"/>
          <w:szCs w:val="24"/>
          <w:lang w:eastAsia="ar-SA"/>
        </w:rPr>
        <w:t>.</w:t>
      </w:r>
      <w:r w:rsidR="0060447B">
        <w:rPr>
          <w:rFonts w:ascii="Arial" w:eastAsia="Times New Roman" w:hAnsi="Arial" w:cs="Arial"/>
          <w:b/>
          <w:i/>
          <w:sz w:val="24"/>
          <w:szCs w:val="24"/>
          <w:lang w:val="en-US" w:eastAsia="ar-SA"/>
        </w:rPr>
        <w:tab/>
      </w:r>
      <w:r w:rsidR="0060447B" w:rsidRPr="0060447B">
        <w:rPr>
          <w:rFonts w:ascii="Arial" w:eastAsia="Times New Roman" w:hAnsi="Arial" w:cs="Arial"/>
          <w:b/>
          <w:i/>
          <w:sz w:val="24"/>
          <w:szCs w:val="24"/>
          <w:lang w:val="en-US" w:eastAsia="ar-SA"/>
        </w:rPr>
        <w:t xml:space="preserve">FSS v LMS (by her litigation friend, the OSS) </w:t>
      </w:r>
      <w:r w:rsidR="0060447B" w:rsidRPr="0060447B">
        <w:rPr>
          <w:rFonts w:ascii="Arial" w:eastAsia="Times New Roman" w:hAnsi="Arial" w:cs="Arial"/>
          <w:b/>
          <w:iCs/>
          <w:sz w:val="24"/>
          <w:szCs w:val="24"/>
          <w:lang w:val="en-US" w:eastAsia="ar-SA"/>
        </w:rPr>
        <w:t>[2020] EWCOP 52</w:t>
      </w:r>
    </w:p>
    <w:p w14:paraId="64B9230E" w14:textId="2D82BC22" w:rsidR="0060447B" w:rsidRDefault="0060447B" w:rsidP="00967117">
      <w:pPr>
        <w:spacing w:before="100" w:beforeAutospacing="1" w:after="100" w:afterAutospacing="1" w:line="240" w:lineRule="auto"/>
        <w:ind w:left="720"/>
        <w:jc w:val="both"/>
        <w:rPr>
          <w:rFonts w:ascii="Arial" w:eastAsia="Times New Roman" w:hAnsi="Arial" w:cs="Arial"/>
          <w:bCs/>
          <w:iCs/>
          <w:sz w:val="24"/>
          <w:szCs w:val="24"/>
          <w:lang w:eastAsia="ar-SA"/>
        </w:rPr>
      </w:pPr>
      <w:r w:rsidRPr="0060447B">
        <w:rPr>
          <w:rFonts w:ascii="Arial" w:eastAsia="Times New Roman" w:hAnsi="Arial" w:cs="Arial"/>
          <w:bCs/>
          <w:iCs/>
          <w:sz w:val="24"/>
          <w:szCs w:val="24"/>
          <w:lang w:eastAsia="ar-SA"/>
        </w:rPr>
        <w:t xml:space="preserve">P was in receipt </w:t>
      </w:r>
      <w:r>
        <w:rPr>
          <w:rFonts w:ascii="Arial" w:eastAsia="Times New Roman" w:hAnsi="Arial" w:cs="Arial"/>
          <w:bCs/>
          <w:iCs/>
          <w:sz w:val="24"/>
          <w:szCs w:val="24"/>
          <w:lang w:eastAsia="ar-SA"/>
        </w:rPr>
        <w:t xml:space="preserve">of </w:t>
      </w:r>
      <w:r w:rsidRPr="0060447B">
        <w:rPr>
          <w:rFonts w:ascii="Arial" w:eastAsia="Times New Roman" w:hAnsi="Arial" w:cs="Arial"/>
          <w:bCs/>
          <w:iCs/>
          <w:sz w:val="24"/>
          <w:szCs w:val="24"/>
          <w:lang w:eastAsia="ar-SA"/>
        </w:rPr>
        <w:t>means-tested benefit</w:t>
      </w:r>
      <w:r>
        <w:rPr>
          <w:rFonts w:ascii="Arial" w:eastAsia="Times New Roman" w:hAnsi="Arial" w:cs="Arial"/>
          <w:bCs/>
          <w:iCs/>
          <w:sz w:val="24"/>
          <w:szCs w:val="24"/>
          <w:lang w:eastAsia="ar-SA"/>
        </w:rPr>
        <w:t>s</w:t>
      </w:r>
      <w:r w:rsidRPr="0060447B">
        <w:rPr>
          <w:rFonts w:ascii="Arial" w:eastAsia="Times New Roman" w:hAnsi="Arial" w:cs="Arial"/>
          <w:bCs/>
          <w:iCs/>
          <w:sz w:val="24"/>
          <w:szCs w:val="24"/>
          <w:lang w:eastAsia="ar-SA"/>
        </w:rPr>
        <w:t xml:space="preserve">. Her mother </w:t>
      </w:r>
      <w:r>
        <w:rPr>
          <w:rFonts w:ascii="Arial" w:eastAsia="Times New Roman" w:hAnsi="Arial" w:cs="Arial"/>
          <w:bCs/>
          <w:iCs/>
          <w:sz w:val="24"/>
          <w:szCs w:val="24"/>
          <w:lang w:eastAsia="ar-SA"/>
        </w:rPr>
        <w:t xml:space="preserve">(who was P’s attorney) </w:t>
      </w:r>
      <w:r w:rsidRPr="0060447B">
        <w:rPr>
          <w:rFonts w:ascii="Arial" w:eastAsia="Times New Roman" w:hAnsi="Arial" w:cs="Arial"/>
          <w:bCs/>
          <w:iCs/>
          <w:sz w:val="24"/>
          <w:szCs w:val="24"/>
          <w:lang w:eastAsia="ar-SA"/>
        </w:rPr>
        <w:t>appl</w:t>
      </w:r>
      <w:r>
        <w:rPr>
          <w:rFonts w:ascii="Arial" w:eastAsia="Times New Roman" w:hAnsi="Arial" w:cs="Arial"/>
          <w:bCs/>
          <w:iCs/>
          <w:sz w:val="24"/>
          <w:szCs w:val="24"/>
          <w:lang w:eastAsia="ar-SA"/>
        </w:rPr>
        <w:t>i</w:t>
      </w:r>
      <w:r w:rsidRPr="0060447B">
        <w:rPr>
          <w:rFonts w:ascii="Arial" w:eastAsia="Times New Roman" w:hAnsi="Arial" w:cs="Arial"/>
          <w:bCs/>
          <w:iCs/>
          <w:sz w:val="24"/>
          <w:szCs w:val="24"/>
          <w:lang w:eastAsia="ar-SA"/>
        </w:rPr>
        <w:t>ed for an order under the Mental Capacity Act 2005 permitting the settlement of £170,000 left to P by her grandfather into a disabled person’s trust.</w:t>
      </w:r>
    </w:p>
    <w:p w14:paraId="40998A98" w14:textId="18A1388D" w:rsidR="0060447B" w:rsidRPr="0060447B" w:rsidRDefault="0060447B" w:rsidP="00967117">
      <w:pPr>
        <w:spacing w:before="100" w:beforeAutospacing="1" w:after="100" w:afterAutospacing="1" w:line="240" w:lineRule="auto"/>
        <w:ind w:left="720"/>
        <w:jc w:val="both"/>
        <w:rPr>
          <w:rFonts w:ascii="Arial" w:eastAsia="Times New Roman" w:hAnsi="Arial" w:cs="Arial"/>
          <w:bCs/>
          <w:iCs/>
          <w:sz w:val="24"/>
          <w:szCs w:val="24"/>
          <w:lang w:eastAsia="ar-SA"/>
        </w:rPr>
      </w:pPr>
      <w:r w:rsidRPr="0060447B">
        <w:rPr>
          <w:rFonts w:ascii="Arial" w:eastAsia="Times New Roman" w:hAnsi="Arial" w:cs="Arial"/>
          <w:bCs/>
          <w:iCs/>
          <w:sz w:val="24"/>
          <w:szCs w:val="24"/>
          <w:lang w:eastAsia="ar-SA"/>
        </w:rPr>
        <w:t>If P received her inheritance outright, her capital would preclude her from receiving those means-tested benefits. A disabled person’s trust is discretionary in form (although treated for IHT purposes as creating a qualifying interest in possession). Because it is discretionary in form, it does not prejudice means tested benefits.</w:t>
      </w:r>
      <w:r>
        <w:rPr>
          <w:rFonts w:ascii="Arial" w:eastAsia="Times New Roman" w:hAnsi="Arial" w:cs="Arial"/>
          <w:bCs/>
          <w:iCs/>
          <w:sz w:val="24"/>
          <w:szCs w:val="24"/>
          <w:lang w:eastAsia="ar-SA"/>
        </w:rPr>
        <w:t xml:space="preserve"> </w:t>
      </w:r>
    </w:p>
    <w:p w14:paraId="51620A8C" w14:textId="3188C0B1" w:rsidR="00A92078" w:rsidRPr="006A2281" w:rsidRDefault="0060447B" w:rsidP="00967117">
      <w:pPr>
        <w:spacing w:before="100" w:beforeAutospacing="1" w:after="100" w:afterAutospacing="1" w:line="240" w:lineRule="auto"/>
        <w:ind w:left="720"/>
        <w:jc w:val="both"/>
        <w:rPr>
          <w:rFonts w:ascii="Arial" w:eastAsia="Times New Roman" w:hAnsi="Arial" w:cs="Arial"/>
          <w:bCs/>
          <w:iCs/>
          <w:sz w:val="24"/>
          <w:szCs w:val="24"/>
          <w:lang w:eastAsia="ar-SA"/>
        </w:rPr>
      </w:pPr>
      <w:r w:rsidRPr="0060447B">
        <w:rPr>
          <w:rFonts w:ascii="Arial" w:eastAsia="Times New Roman" w:hAnsi="Arial" w:cs="Arial"/>
          <w:bCs/>
          <w:iCs/>
          <w:sz w:val="24"/>
          <w:szCs w:val="24"/>
          <w:lang w:eastAsia="ar-SA"/>
        </w:rPr>
        <w:t>Her mother contended that the variation would allow P to continue to receive means-tested benefits; the O</w:t>
      </w:r>
      <w:r>
        <w:rPr>
          <w:rFonts w:ascii="Arial" w:eastAsia="Times New Roman" w:hAnsi="Arial" w:cs="Arial"/>
          <w:bCs/>
          <w:iCs/>
          <w:sz w:val="24"/>
          <w:szCs w:val="24"/>
          <w:lang w:eastAsia="ar-SA"/>
        </w:rPr>
        <w:t xml:space="preserve">fficial </w:t>
      </w:r>
      <w:r w:rsidRPr="0060447B">
        <w:rPr>
          <w:rFonts w:ascii="Arial" w:eastAsia="Times New Roman" w:hAnsi="Arial" w:cs="Arial"/>
          <w:bCs/>
          <w:iCs/>
          <w:sz w:val="24"/>
          <w:szCs w:val="24"/>
          <w:lang w:eastAsia="ar-SA"/>
        </w:rPr>
        <w:t>S</w:t>
      </w:r>
      <w:r>
        <w:rPr>
          <w:rFonts w:ascii="Arial" w:eastAsia="Times New Roman" w:hAnsi="Arial" w:cs="Arial"/>
          <w:bCs/>
          <w:iCs/>
          <w:sz w:val="24"/>
          <w:szCs w:val="24"/>
          <w:lang w:eastAsia="ar-SA"/>
        </w:rPr>
        <w:t>olicitor</w:t>
      </w:r>
      <w:r w:rsidRPr="0060447B">
        <w:rPr>
          <w:rFonts w:ascii="Arial" w:eastAsia="Times New Roman" w:hAnsi="Arial" w:cs="Arial"/>
          <w:bCs/>
          <w:iCs/>
          <w:sz w:val="24"/>
          <w:szCs w:val="24"/>
          <w:lang w:eastAsia="ar-SA"/>
        </w:rPr>
        <w:t xml:space="preserve"> disagreed on the basis that placing the inheritance into the proposed disabled person's trust would amount to a  deliberate deprivation of capital such that P would still not be entitled to means-tested benefits.</w:t>
      </w:r>
    </w:p>
    <w:p w14:paraId="4588F933" w14:textId="6B4AC12B" w:rsidR="0060447B" w:rsidRDefault="0060447B" w:rsidP="00C16480">
      <w:pPr>
        <w:spacing w:before="100" w:beforeAutospacing="1" w:after="100" w:afterAutospacing="1" w:line="240" w:lineRule="auto"/>
        <w:ind w:left="720"/>
        <w:jc w:val="both"/>
        <w:rPr>
          <w:rFonts w:ascii="Arial" w:eastAsia="Calibri" w:hAnsi="Arial" w:cs="Arial"/>
          <w:sz w:val="24"/>
          <w:szCs w:val="24"/>
        </w:rPr>
      </w:pPr>
      <w:r>
        <w:rPr>
          <w:rFonts w:ascii="Arial" w:eastAsia="Calibri" w:hAnsi="Arial" w:cs="Arial"/>
          <w:sz w:val="24"/>
          <w:szCs w:val="24"/>
        </w:rPr>
        <w:t xml:space="preserve">The benefits P received all provided that claimants were to be treated as notionally entitled to income and capital of which they had deprived themselves for the </w:t>
      </w:r>
      <w:r w:rsidRPr="0060447B">
        <w:rPr>
          <w:rFonts w:ascii="Arial" w:eastAsia="Calibri" w:hAnsi="Arial" w:cs="Arial"/>
          <w:i/>
          <w:iCs/>
          <w:sz w:val="24"/>
          <w:szCs w:val="24"/>
        </w:rPr>
        <w:t xml:space="preserve">for the purpose of </w:t>
      </w:r>
      <w:r>
        <w:rPr>
          <w:rFonts w:ascii="Arial" w:eastAsia="Calibri" w:hAnsi="Arial" w:cs="Arial"/>
          <w:sz w:val="24"/>
          <w:szCs w:val="24"/>
        </w:rPr>
        <w:t>obtaining the benefit.</w:t>
      </w:r>
    </w:p>
    <w:p w14:paraId="0A94E69C" w14:textId="6783C77D" w:rsidR="0060447B" w:rsidRPr="0060447B" w:rsidRDefault="0060447B" w:rsidP="00C16480">
      <w:pPr>
        <w:spacing w:before="100" w:beforeAutospacing="1" w:after="100" w:afterAutospacing="1" w:line="240" w:lineRule="auto"/>
        <w:ind w:left="720"/>
        <w:jc w:val="both"/>
        <w:rPr>
          <w:rFonts w:ascii="Arial" w:eastAsia="Calibri" w:hAnsi="Arial" w:cs="Arial"/>
          <w:sz w:val="24"/>
          <w:szCs w:val="24"/>
        </w:rPr>
      </w:pPr>
      <w:r>
        <w:rPr>
          <w:rFonts w:ascii="Arial" w:eastAsia="Calibri" w:hAnsi="Arial" w:cs="Arial"/>
          <w:sz w:val="24"/>
          <w:szCs w:val="24"/>
        </w:rPr>
        <w:t>T</w:t>
      </w:r>
      <w:r w:rsidRPr="0060447B">
        <w:rPr>
          <w:rFonts w:ascii="Arial" w:eastAsia="Calibri" w:hAnsi="Arial" w:cs="Arial"/>
          <w:sz w:val="24"/>
          <w:szCs w:val="24"/>
        </w:rPr>
        <w:t xml:space="preserve">he principles applicable to determining whether a disposal of capital is a deliberate act for the purposes of means-tested benefits were considered by Mr Howell QC then a Social Security Commissioner in </w:t>
      </w:r>
      <w:bookmarkStart w:id="10" w:name="_Hlk57024256"/>
      <w:r w:rsidRPr="0060447B">
        <w:rPr>
          <w:rFonts w:ascii="Arial" w:eastAsia="Calibri" w:hAnsi="Arial" w:cs="Arial"/>
          <w:i/>
          <w:iCs/>
          <w:sz w:val="24"/>
          <w:szCs w:val="24"/>
        </w:rPr>
        <w:t>R(H)1/06</w:t>
      </w:r>
      <w:r w:rsidRPr="0060447B">
        <w:rPr>
          <w:rFonts w:ascii="Arial" w:eastAsia="Calibri" w:hAnsi="Arial" w:cs="Arial"/>
          <w:sz w:val="24"/>
          <w:szCs w:val="24"/>
        </w:rPr>
        <w:t xml:space="preserve"> at paragraphs 20 to 23</w:t>
      </w:r>
      <w:bookmarkEnd w:id="10"/>
      <w:r w:rsidRPr="0060447B">
        <w:rPr>
          <w:rFonts w:ascii="Arial" w:eastAsia="Calibri" w:hAnsi="Arial" w:cs="Arial"/>
          <w:sz w:val="24"/>
          <w:szCs w:val="24"/>
        </w:rPr>
        <w:t>:</w:t>
      </w:r>
    </w:p>
    <w:p w14:paraId="0D5F94F7" w14:textId="77777777" w:rsidR="0060447B" w:rsidRPr="0060447B" w:rsidRDefault="0060447B" w:rsidP="00C16480">
      <w:pPr>
        <w:spacing w:before="100" w:beforeAutospacing="1" w:after="100" w:afterAutospacing="1" w:line="240" w:lineRule="auto"/>
        <w:ind w:left="1440"/>
        <w:jc w:val="both"/>
        <w:rPr>
          <w:rFonts w:ascii="Arial" w:eastAsia="Calibri" w:hAnsi="Arial" w:cs="Arial"/>
          <w:sz w:val="24"/>
          <w:szCs w:val="24"/>
        </w:rPr>
      </w:pPr>
      <w:bookmarkStart w:id="11" w:name="_Hlk57024097"/>
      <w:r w:rsidRPr="0060447B">
        <w:rPr>
          <w:rFonts w:ascii="Arial" w:eastAsia="Calibri" w:hAnsi="Arial" w:cs="Arial"/>
          <w:sz w:val="24"/>
          <w:szCs w:val="24"/>
        </w:rPr>
        <w:t xml:space="preserve">“ </w:t>
      </w:r>
      <w:r w:rsidRPr="0060447B">
        <w:rPr>
          <w:rFonts w:ascii="Arial" w:eastAsia="Calibri" w:hAnsi="Arial" w:cs="Arial"/>
          <w:i/>
          <w:iCs/>
          <w:sz w:val="24"/>
          <w:szCs w:val="24"/>
        </w:rPr>
        <w:t xml:space="preserve">the correct test to be applied in determining whether the claimant is shown to have deprived himself of capital for the purpose of securing entitlement to housing benefit is the well-established one applied on similar wording in the main social security legislation, namely whether the securing of such entitlement is shown to have been </w:t>
      </w:r>
      <w:bookmarkStart w:id="12" w:name="_Hlk57110130"/>
      <w:r w:rsidRPr="0060447B">
        <w:rPr>
          <w:rFonts w:ascii="Arial" w:eastAsia="Calibri" w:hAnsi="Arial" w:cs="Arial"/>
          <w:i/>
          <w:iCs/>
          <w:sz w:val="24"/>
          <w:szCs w:val="24"/>
        </w:rPr>
        <w:t>a ‘</w:t>
      </w:r>
      <w:r w:rsidRPr="0060447B">
        <w:rPr>
          <w:rFonts w:ascii="Arial" w:eastAsia="Calibri" w:hAnsi="Arial" w:cs="Arial"/>
          <w:b/>
          <w:bCs/>
          <w:i/>
          <w:iCs/>
          <w:sz w:val="24"/>
          <w:szCs w:val="24"/>
        </w:rPr>
        <w:t>significant operative purpose’</w:t>
      </w:r>
      <w:bookmarkEnd w:id="12"/>
      <w:r w:rsidRPr="0060447B">
        <w:rPr>
          <w:rFonts w:ascii="Arial" w:eastAsia="Calibri" w:hAnsi="Arial" w:cs="Arial"/>
          <w:i/>
          <w:iCs/>
          <w:sz w:val="24"/>
          <w:szCs w:val="24"/>
        </w:rPr>
        <w:t xml:space="preserve"> of the claimant's relevant actions in disposing of his capital</w:t>
      </w:r>
      <w:r w:rsidRPr="0060447B">
        <w:rPr>
          <w:rFonts w:ascii="Arial" w:eastAsia="Calibri" w:hAnsi="Arial" w:cs="Arial"/>
          <w:sz w:val="24"/>
          <w:szCs w:val="24"/>
        </w:rPr>
        <w:t>.”</w:t>
      </w:r>
    </w:p>
    <w:bookmarkEnd w:id="11"/>
    <w:p w14:paraId="6389038D" w14:textId="77777777" w:rsidR="007A551D" w:rsidRDefault="007A551D" w:rsidP="00C16480">
      <w:pPr>
        <w:spacing w:before="100" w:beforeAutospacing="1" w:after="100" w:afterAutospacing="1" w:line="240" w:lineRule="auto"/>
        <w:ind w:left="720"/>
        <w:jc w:val="both"/>
        <w:rPr>
          <w:rFonts w:ascii="Arial" w:eastAsia="Times New Roman" w:hAnsi="Arial" w:cs="Arial"/>
          <w:sz w:val="24"/>
          <w:szCs w:val="24"/>
          <w:lang w:eastAsia="en-GB"/>
        </w:rPr>
      </w:pPr>
      <w:r w:rsidRPr="007A551D">
        <w:rPr>
          <w:rFonts w:ascii="Arial" w:eastAsia="Times New Roman" w:hAnsi="Arial" w:cs="Arial"/>
          <w:sz w:val="24"/>
          <w:szCs w:val="24"/>
          <w:lang w:eastAsia="en-GB"/>
        </w:rPr>
        <w:t>Whether the securing of entitlement to benefit is, in this sense, among the purposes leading any particular claimant to act as he did is a question that must be determined by the tribunal of fact.</w:t>
      </w:r>
    </w:p>
    <w:p w14:paraId="1D82106C" w14:textId="6AEF78C1" w:rsidR="00E506F7" w:rsidRDefault="0060447B" w:rsidP="00C16480">
      <w:pPr>
        <w:spacing w:before="100" w:beforeAutospacing="1" w:after="100" w:afterAutospacing="1" w:line="240" w:lineRule="auto"/>
        <w:ind w:left="720"/>
        <w:jc w:val="both"/>
        <w:rPr>
          <w:rFonts w:ascii="Arial" w:eastAsia="Times New Roman" w:hAnsi="Arial" w:cs="Arial"/>
          <w:sz w:val="24"/>
          <w:szCs w:val="24"/>
          <w:lang w:eastAsia="en-GB"/>
        </w:rPr>
      </w:pPr>
      <w:r w:rsidRPr="0060447B">
        <w:rPr>
          <w:rFonts w:ascii="Arial" w:eastAsia="Times New Roman" w:hAnsi="Arial" w:cs="Arial"/>
          <w:sz w:val="24"/>
          <w:szCs w:val="24"/>
          <w:lang w:eastAsia="en-GB"/>
        </w:rPr>
        <w:t>The Court of Protection accepted that the issue was whether or not obtaining the benefits was a ‘significant operative purpose’</w:t>
      </w:r>
      <w:r>
        <w:rPr>
          <w:rFonts w:ascii="Arial" w:eastAsia="Times New Roman" w:hAnsi="Arial" w:cs="Arial"/>
          <w:sz w:val="24"/>
          <w:szCs w:val="24"/>
          <w:lang w:eastAsia="en-GB"/>
        </w:rPr>
        <w:t xml:space="preserve">. It accepted that P’s grandfather had intended her to benefit and would have left the legacy differently had he known of the effect on her benefits. </w:t>
      </w:r>
    </w:p>
    <w:p w14:paraId="60E85566" w14:textId="77777777" w:rsidR="007A551D" w:rsidRDefault="007A551D" w:rsidP="00C16480">
      <w:pPr>
        <w:spacing w:before="100" w:beforeAutospacing="1" w:after="100" w:afterAutospacing="1" w:line="240" w:lineRule="auto"/>
        <w:ind w:left="720"/>
        <w:contextualSpacing/>
        <w:jc w:val="both"/>
        <w:rPr>
          <w:rFonts w:ascii="Arial" w:eastAsia="Calibri" w:hAnsi="Arial" w:cs="Arial"/>
          <w:sz w:val="24"/>
          <w:szCs w:val="24"/>
        </w:rPr>
      </w:pPr>
      <w:bookmarkStart w:id="13" w:name="_Hlk57024346"/>
      <w:r w:rsidRPr="007A551D">
        <w:rPr>
          <w:rFonts w:ascii="Arial" w:eastAsia="Calibri" w:hAnsi="Arial" w:cs="Arial"/>
          <w:sz w:val="24"/>
          <w:szCs w:val="24"/>
        </w:rPr>
        <w:lastRenderedPageBreak/>
        <w:t>Although the Court of Protection ha</w:t>
      </w:r>
      <w:r>
        <w:rPr>
          <w:rFonts w:ascii="Arial" w:eastAsia="Calibri" w:hAnsi="Arial" w:cs="Arial"/>
          <w:sz w:val="24"/>
          <w:szCs w:val="24"/>
        </w:rPr>
        <w:t>s</w:t>
      </w:r>
      <w:r w:rsidRPr="007A551D">
        <w:rPr>
          <w:rFonts w:ascii="Arial" w:eastAsia="Calibri" w:hAnsi="Arial" w:cs="Arial"/>
          <w:sz w:val="24"/>
          <w:szCs w:val="24"/>
        </w:rPr>
        <w:t xml:space="preserve"> no jurisdiction to determine whether P’s means-tested benefits would be affected, it can record its own intention in authorising the deed on behalf of P. </w:t>
      </w:r>
    </w:p>
    <w:p w14:paraId="2B12092F" w14:textId="77777777" w:rsidR="007A551D" w:rsidRDefault="007A551D" w:rsidP="00C16480">
      <w:pPr>
        <w:spacing w:before="100" w:beforeAutospacing="1" w:after="100" w:afterAutospacing="1" w:line="240" w:lineRule="auto"/>
        <w:ind w:left="720"/>
        <w:contextualSpacing/>
        <w:jc w:val="both"/>
        <w:rPr>
          <w:rFonts w:ascii="Arial" w:eastAsia="Calibri" w:hAnsi="Arial" w:cs="Arial"/>
          <w:sz w:val="24"/>
          <w:szCs w:val="24"/>
        </w:rPr>
      </w:pPr>
    </w:p>
    <w:p w14:paraId="5F65D171" w14:textId="4C210D8F" w:rsidR="007A551D" w:rsidRPr="007A551D" w:rsidRDefault="007A551D" w:rsidP="00C16480">
      <w:pPr>
        <w:spacing w:before="100" w:beforeAutospacing="1" w:after="100" w:afterAutospacing="1" w:line="240" w:lineRule="auto"/>
        <w:ind w:left="720"/>
        <w:contextualSpacing/>
        <w:jc w:val="both"/>
        <w:rPr>
          <w:rFonts w:ascii="Arial" w:eastAsia="Calibri" w:hAnsi="Arial" w:cs="Arial"/>
          <w:sz w:val="24"/>
          <w:szCs w:val="24"/>
        </w:rPr>
      </w:pPr>
      <w:r w:rsidRPr="007A551D">
        <w:rPr>
          <w:rFonts w:ascii="Arial" w:eastAsia="Calibri" w:hAnsi="Arial" w:cs="Arial"/>
          <w:sz w:val="24"/>
          <w:szCs w:val="24"/>
        </w:rPr>
        <w:t>Beckley DJ said that the continuing eligibility of P to means-tested benefits and funding was not the ‘</w:t>
      </w:r>
      <w:r w:rsidRPr="007A551D">
        <w:rPr>
          <w:rFonts w:ascii="Arial" w:eastAsia="Calibri" w:hAnsi="Arial" w:cs="Arial"/>
          <w:i/>
          <w:iCs/>
          <w:sz w:val="24"/>
          <w:szCs w:val="24"/>
        </w:rPr>
        <w:t>significant operative purpose’</w:t>
      </w:r>
      <w:r w:rsidRPr="007A551D">
        <w:rPr>
          <w:rFonts w:ascii="Arial" w:eastAsia="Calibri" w:hAnsi="Arial" w:cs="Arial"/>
          <w:sz w:val="24"/>
          <w:szCs w:val="24"/>
        </w:rPr>
        <w:t xml:space="preserve"> of the proposed deed. The court’s motive in authorising the deed on P’s behalf was to better effect the intention of her grandfather.</w:t>
      </w:r>
    </w:p>
    <w:bookmarkEnd w:id="13"/>
    <w:p w14:paraId="6020B3B7" w14:textId="77777777" w:rsidR="007A551D" w:rsidRPr="007A551D" w:rsidRDefault="007A551D" w:rsidP="00C16480">
      <w:pPr>
        <w:spacing w:before="100" w:beforeAutospacing="1" w:after="100" w:afterAutospacing="1" w:line="240" w:lineRule="auto"/>
        <w:contextualSpacing/>
        <w:jc w:val="both"/>
        <w:rPr>
          <w:rFonts w:ascii="Arial" w:eastAsia="Calibri" w:hAnsi="Arial" w:cs="Arial"/>
          <w:sz w:val="24"/>
          <w:szCs w:val="24"/>
        </w:rPr>
      </w:pPr>
    </w:p>
    <w:p w14:paraId="6B4A8FAF" w14:textId="77777777" w:rsidR="007A551D" w:rsidRPr="00967117" w:rsidRDefault="007A551D" w:rsidP="00C16480">
      <w:pPr>
        <w:spacing w:before="100" w:beforeAutospacing="1" w:after="120" w:line="240" w:lineRule="auto"/>
        <w:ind w:left="720"/>
        <w:jc w:val="both"/>
        <w:rPr>
          <w:rFonts w:ascii="Arial" w:eastAsia="Times New Roman" w:hAnsi="Arial" w:cs="Arial"/>
          <w:b/>
          <w:bCs/>
          <w:sz w:val="24"/>
          <w:szCs w:val="24"/>
          <w:lang w:eastAsia="en-GB"/>
        </w:rPr>
      </w:pPr>
      <w:r w:rsidRPr="00967117">
        <w:rPr>
          <w:rFonts w:ascii="Arial" w:eastAsia="Times New Roman" w:hAnsi="Arial" w:cs="Arial"/>
          <w:b/>
          <w:bCs/>
          <w:sz w:val="24"/>
          <w:szCs w:val="24"/>
          <w:lang w:eastAsia="en-GB"/>
        </w:rPr>
        <w:t>Comment:</w:t>
      </w:r>
      <w:r w:rsidRPr="00967117">
        <w:rPr>
          <w:rFonts w:ascii="Arial" w:eastAsia="Times New Roman" w:hAnsi="Arial" w:cs="Arial"/>
          <w:b/>
          <w:bCs/>
          <w:sz w:val="24"/>
          <w:szCs w:val="24"/>
          <w:lang w:eastAsia="en-GB"/>
        </w:rPr>
        <w:tab/>
      </w:r>
    </w:p>
    <w:p w14:paraId="7FF88762" w14:textId="6FAD6D64" w:rsidR="007A551D" w:rsidRPr="0060447B" w:rsidRDefault="007A551D" w:rsidP="00C16480">
      <w:pPr>
        <w:spacing w:before="120" w:after="100" w:afterAutospacing="1"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Although good news for P and her mother, the case does illustrate the fact that claimants in receipt of means-tested benefits are at risk of falling foul of the deliberate deprivation rules if they vary legacies left to them.</w:t>
      </w:r>
    </w:p>
    <w:p w14:paraId="08FEC501" w14:textId="15AED560" w:rsidR="00F90B78" w:rsidRPr="00730090" w:rsidRDefault="00730090" w:rsidP="00E506F7">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eastAsia="Calibri" w:hAnsi="Arial" w:cs="Arial"/>
          <w:b/>
          <w:sz w:val="24"/>
          <w:szCs w:val="24"/>
        </w:rPr>
      </w:pPr>
      <w:r>
        <w:rPr>
          <w:rFonts w:ascii="Arial" w:eastAsia="Times New Roman" w:hAnsi="Arial" w:cs="Arial"/>
          <w:b/>
          <w:bCs/>
          <w:sz w:val="24"/>
          <w:szCs w:val="24"/>
          <w:lang w:eastAsia="en-GB"/>
        </w:rPr>
        <w:br w:type="page"/>
      </w:r>
      <w:r w:rsidR="005D43DF">
        <w:rPr>
          <w:rFonts w:ascii="Arial" w:eastAsia="Times New Roman" w:hAnsi="Arial" w:cs="Arial"/>
          <w:b/>
          <w:bCs/>
          <w:sz w:val="24"/>
          <w:szCs w:val="24"/>
          <w:lang w:eastAsia="en-GB"/>
        </w:rPr>
        <w:lastRenderedPageBreak/>
        <w:t>V</w:t>
      </w:r>
      <w:r w:rsidR="00413711">
        <w:rPr>
          <w:rFonts w:ascii="Arial" w:eastAsia="Times New Roman" w:hAnsi="Arial" w:cs="Arial"/>
          <w:b/>
          <w:bCs/>
          <w:sz w:val="24"/>
          <w:szCs w:val="24"/>
          <w:lang w:eastAsia="en-GB"/>
        </w:rPr>
        <w:t>I</w:t>
      </w:r>
      <w:r w:rsidR="009D1B53">
        <w:rPr>
          <w:rFonts w:ascii="Arial" w:eastAsia="Times New Roman" w:hAnsi="Arial" w:cs="Arial"/>
          <w:b/>
          <w:bCs/>
          <w:sz w:val="24"/>
          <w:szCs w:val="24"/>
          <w:lang w:eastAsia="en-GB"/>
        </w:rPr>
        <w:t>.</w:t>
      </w:r>
      <w:r w:rsidR="009D1B53">
        <w:rPr>
          <w:rFonts w:ascii="Arial" w:eastAsia="Times New Roman" w:hAnsi="Arial" w:cs="Arial"/>
          <w:b/>
          <w:bCs/>
          <w:sz w:val="24"/>
          <w:szCs w:val="24"/>
          <w:lang w:eastAsia="en-GB"/>
        </w:rPr>
        <w:tab/>
      </w:r>
      <w:r w:rsidR="00967117">
        <w:rPr>
          <w:rFonts w:ascii="Arial" w:eastAsia="Times New Roman" w:hAnsi="Arial" w:cs="Arial"/>
          <w:b/>
          <w:bCs/>
          <w:sz w:val="24"/>
          <w:szCs w:val="24"/>
          <w:lang w:eastAsia="en-GB"/>
        </w:rPr>
        <w:t>RECENT DECISIONS UNDER I(PFD)A 1975</w:t>
      </w:r>
      <w:r w:rsidR="00F90B78" w:rsidRPr="00730090">
        <w:rPr>
          <w:rFonts w:ascii="Arial" w:eastAsia="Times New Roman" w:hAnsi="Arial" w:cs="Arial"/>
          <w:b/>
          <w:sz w:val="24"/>
          <w:szCs w:val="24"/>
          <w:lang w:eastAsia="en-GB"/>
        </w:rPr>
        <w:t xml:space="preserve"> </w:t>
      </w:r>
    </w:p>
    <w:p w14:paraId="2CF21C10" w14:textId="051E45E2" w:rsidR="00967117" w:rsidRDefault="00967117" w:rsidP="00967117">
      <w:pPr>
        <w:suppressAutoHyphens/>
        <w:spacing w:before="100" w:beforeAutospacing="1" w:after="100" w:afterAutospacing="1" w:line="240" w:lineRule="auto"/>
        <w:jc w:val="both"/>
        <w:rPr>
          <w:rFonts w:ascii="Arial" w:eastAsia="Times New Roman" w:hAnsi="Arial" w:cs="Arial"/>
          <w:bCs/>
          <w:sz w:val="24"/>
          <w:szCs w:val="24"/>
          <w:lang w:eastAsia="ar-SA"/>
        </w:rPr>
      </w:pPr>
      <w:r w:rsidRPr="00967117">
        <w:rPr>
          <w:rFonts w:ascii="Arial" w:eastAsia="Times New Roman" w:hAnsi="Arial" w:cs="Arial"/>
          <w:bCs/>
          <w:sz w:val="24"/>
          <w:szCs w:val="24"/>
          <w:lang w:eastAsia="ar-SA"/>
        </w:rPr>
        <w:t xml:space="preserve">Recent decisions on the Inheritance (Provision for Family and Dependants) Act 1975 suggest that a surviving spouse who receives no capital and is unhappy with that position has a good chance of succeeding in a claim. In 1975 Act claims brought by spouses and civil partners, the court is required to consider what the claimant would have received had the marriage or civil partnership ended in divorce or dissolution. </w:t>
      </w:r>
    </w:p>
    <w:p w14:paraId="7B428866" w14:textId="77777777" w:rsidR="00A350C9" w:rsidRDefault="00967117" w:rsidP="00967117">
      <w:pPr>
        <w:suppressAutoHyphens/>
        <w:spacing w:before="100" w:beforeAutospacing="1" w:after="100" w:afterAutospacing="1" w:line="240" w:lineRule="auto"/>
        <w:jc w:val="both"/>
        <w:rPr>
          <w:rFonts w:ascii="Arial" w:eastAsia="Times New Roman" w:hAnsi="Arial" w:cs="Arial"/>
          <w:bCs/>
          <w:sz w:val="24"/>
          <w:szCs w:val="24"/>
          <w:lang w:eastAsia="ar-SA"/>
        </w:rPr>
      </w:pPr>
      <w:r w:rsidRPr="00967117">
        <w:rPr>
          <w:rFonts w:ascii="Arial" w:eastAsia="Times New Roman" w:hAnsi="Arial" w:cs="Arial"/>
          <w:bCs/>
          <w:sz w:val="24"/>
          <w:szCs w:val="24"/>
          <w:lang w:eastAsia="ar-SA"/>
        </w:rPr>
        <w:t xml:space="preserve">Since the House of Lords decision in </w:t>
      </w:r>
      <w:r w:rsidRPr="00967117">
        <w:rPr>
          <w:rFonts w:ascii="Arial" w:eastAsia="Times New Roman" w:hAnsi="Arial" w:cs="Arial"/>
          <w:b/>
          <w:i/>
          <w:iCs/>
          <w:sz w:val="24"/>
          <w:szCs w:val="24"/>
          <w:lang w:eastAsia="ar-SA"/>
        </w:rPr>
        <w:t>White v White</w:t>
      </w:r>
      <w:r w:rsidRPr="00967117">
        <w:rPr>
          <w:rFonts w:ascii="Arial" w:eastAsia="Times New Roman" w:hAnsi="Arial" w:cs="Arial"/>
          <w:bCs/>
          <w:sz w:val="24"/>
          <w:szCs w:val="24"/>
          <w:lang w:eastAsia="ar-SA"/>
        </w:rPr>
        <w:t xml:space="preserve"> [2001] AC 596 both parties would expect to receive a share of capital. </w:t>
      </w:r>
    </w:p>
    <w:p w14:paraId="205EC4F5" w14:textId="77777777" w:rsidR="00A350C9" w:rsidRDefault="00967117" w:rsidP="00967117">
      <w:pPr>
        <w:suppressAutoHyphens/>
        <w:spacing w:before="100" w:beforeAutospacing="1" w:after="100" w:afterAutospacing="1" w:line="240" w:lineRule="auto"/>
        <w:jc w:val="both"/>
        <w:rPr>
          <w:rFonts w:ascii="Arial" w:hAnsi="Arial" w:cs="Arial"/>
          <w:sz w:val="24"/>
          <w:szCs w:val="24"/>
        </w:rPr>
      </w:pPr>
      <w:r w:rsidRPr="00967117">
        <w:rPr>
          <w:rFonts w:ascii="Arial" w:eastAsia="Times New Roman" w:hAnsi="Arial" w:cs="Arial"/>
          <w:bCs/>
          <w:sz w:val="24"/>
          <w:szCs w:val="24"/>
          <w:lang w:eastAsia="ar-SA"/>
        </w:rPr>
        <w:t xml:space="preserve">See, for example, </w:t>
      </w:r>
      <w:r w:rsidR="00A350C9" w:rsidRPr="00747FEB">
        <w:rPr>
          <w:rFonts w:ascii="Arial" w:hAnsi="Arial" w:cs="Arial"/>
          <w:b/>
          <w:i/>
          <w:sz w:val="24"/>
          <w:szCs w:val="24"/>
        </w:rPr>
        <w:t>Berger v Berger</w:t>
      </w:r>
      <w:r w:rsidR="00A350C9" w:rsidRPr="00747FEB">
        <w:rPr>
          <w:rFonts w:ascii="Arial" w:hAnsi="Arial" w:cs="Arial"/>
          <w:sz w:val="24"/>
          <w:szCs w:val="24"/>
        </w:rPr>
        <w:t xml:space="preserve"> [2013] EWCA Civ 1305, an application by a widow with only a life interest seeking leave to apply out of time. Although her application was refused because the delay was inexcusable, the Court of Appeal considered that she had a strong case. In this they differed from the trial judge who had said that “</w:t>
      </w:r>
      <w:r w:rsidR="00A350C9" w:rsidRPr="00747FEB">
        <w:rPr>
          <w:rFonts w:ascii="Arial" w:hAnsi="Arial" w:cs="Arial"/>
          <w:i/>
          <w:sz w:val="24"/>
          <w:szCs w:val="24"/>
        </w:rPr>
        <w:t>bearing in mind her age and health” and, in particular her age, it was not unreasonable to adopt the solution of a life interest</w:t>
      </w:r>
      <w:r w:rsidR="00A350C9" w:rsidRPr="00747FEB">
        <w:rPr>
          <w:rFonts w:ascii="Arial" w:hAnsi="Arial" w:cs="Arial"/>
          <w:sz w:val="24"/>
          <w:szCs w:val="24"/>
        </w:rPr>
        <w:t xml:space="preserve">”. Black LJ said </w:t>
      </w:r>
      <w:r w:rsidR="00A350C9">
        <w:rPr>
          <w:rFonts w:ascii="Arial" w:hAnsi="Arial" w:cs="Arial"/>
          <w:sz w:val="24"/>
          <w:szCs w:val="24"/>
        </w:rPr>
        <w:t>that this was a wrong approach</w:t>
      </w:r>
      <w:r w:rsidR="00A350C9" w:rsidRPr="00747FEB">
        <w:rPr>
          <w:rFonts w:ascii="Arial" w:hAnsi="Arial" w:cs="Arial"/>
          <w:sz w:val="24"/>
          <w:szCs w:val="24"/>
        </w:rPr>
        <w:t xml:space="preserve">. A court determining a substantive application is required by s3 of the Act to have regard to the provision which wife might have received if the parties had been divorced on the date of death. In </w:t>
      </w:r>
      <w:r w:rsidR="00A350C9" w:rsidRPr="00747FEB">
        <w:rPr>
          <w:rFonts w:ascii="Arial" w:hAnsi="Arial" w:cs="Arial"/>
          <w:b/>
          <w:i/>
          <w:sz w:val="24"/>
          <w:szCs w:val="24"/>
        </w:rPr>
        <w:t>White v White</w:t>
      </w:r>
      <w:r w:rsidR="00A350C9" w:rsidRPr="00747FEB">
        <w:rPr>
          <w:rFonts w:ascii="Arial" w:hAnsi="Arial" w:cs="Arial"/>
          <w:sz w:val="24"/>
          <w:szCs w:val="24"/>
        </w:rPr>
        <w:t xml:space="preserve"> [2001] 1 AC 596 The House of Lords said that in ancillary relief proceedings equality should only be departed from if, and to the extent that, there was good reason for doing so. A claimant's financial needs or reasonable requirements should not be regarded as determinative in arriving at the amount of an award. It was at least arguable that the starting point for an ancillary relief order in </w:t>
      </w:r>
      <w:r w:rsidR="00A350C9" w:rsidRPr="00747FEB">
        <w:rPr>
          <w:rFonts w:ascii="Arial" w:hAnsi="Arial" w:cs="Arial"/>
          <w:i/>
          <w:sz w:val="24"/>
          <w:szCs w:val="24"/>
        </w:rPr>
        <w:t>Berger</w:t>
      </w:r>
      <w:r w:rsidR="00A350C9" w:rsidRPr="00747FEB">
        <w:rPr>
          <w:rFonts w:ascii="Arial" w:hAnsi="Arial" w:cs="Arial"/>
          <w:sz w:val="24"/>
          <w:szCs w:val="24"/>
        </w:rPr>
        <w:t xml:space="preserve">, given the very long period during which the </w:t>
      </w:r>
      <w:r w:rsidR="00A350C9">
        <w:rPr>
          <w:rFonts w:ascii="Arial" w:hAnsi="Arial" w:cs="Arial"/>
          <w:sz w:val="24"/>
          <w:szCs w:val="24"/>
        </w:rPr>
        <w:t>a</w:t>
      </w:r>
      <w:r w:rsidR="00A350C9" w:rsidRPr="00747FEB">
        <w:rPr>
          <w:rFonts w:ascii="Arial" w:hAnsi="Arial" w:cs="Arial"/>
          <w:sz w:val="24"/>
          <w:szCs w:val="24"/>
        </w:rPr>
        <w:t xml:space="preserve">ppellant and the </w:t>
      </w:r>
      <w:r w:rsidR="00A350C9" w:rsidRPr="00A350C9">
        <w:rPr>
          <w:rFonts w:ascii="Arial" w:hAnsi="Arial" w:cs="Arial"/>
          <w:sz w:val="24"/>
          <w:szCs w:val="24"/>
        </w:rPr>
        <w:t>deceased had been together, would have been a 50:50 division of their assets.</w:t>
      </w:r>
    </w:p>
    <w:p w14:paraId="68F1FE96" w14:textId="77777777" w:rsidR="00A350C9" w:rsidRDefault="00967117" w:rsidP="00A350C9">
      <w:pPr>
        <w:suppressAutoHyphens/>
        <w:spacing w:before="100" w:beforeAutospacing="1" w:after="100" w:afterAutospacing="1" w:line="240" w:lineRule="auto"/>
        <w:jc w:val="both"/>
        <w:rPr>
          <w:rFonts w:ascii="Arial" w:eastAsia="Times New Roman" w:hAnsi="Arial" w:cs="Arial"/>
          <w:bCs/>
          <w:sz w:val="24"/>
          <w:szCs w:val="24"/>
          <w:lang w:eastAsia="ar-SA"/>
        </w:rPr>
      </w:pPr>
      <w:r w:rsidRPr="00967117">
        <w:rPr>
          <w:rFonts w:ascii="Arial" w:eastAsia="Times New Roman" w:hAnsi="Arial" w:cs="Arial"/>
          <w:b/>
          <w:i/>
          <w:iCs/>
          <w:sz w:val="24"/>
          <w:szCs w:val="24"/>
          <w:lang w:eastAsia="ar-SA"/>
        </w:rPr>
        <w:t>Cowan v Foreman</w:t>
      </w:r>
      <w:r w:rsidRPr="00967117">
        <w:rPr>
          <w:rFonts w:ascii="Arial" w:eastAsia="Times New Roman" w:hAnsi="Arial" w:cs="Arial"/>
          <w:bCs/>
          <w:sz w:val="24"/>
          <w:szCs w:val="24"/>
          <w:lang w:eastAsia="ar-SA"/>
        </w:rPr>
        <w:t xml:space="preserve"> [2019] EWCA Civ 1336.</w:t>
      </w:r>
      <w:r w:rsidR="00A350C9">
        <w:rPr>
          <w:rFonts w:ascii="Arial" w:eastAsia="Times New Roman" w:hAnsi="Arial" w:cs="Arial"/>
          <w:bCs/>
          <w:sz w:val="24"/>
          <w:szCs w:val="24"/>
          <w:lang w:eastAsia="ar-SA"/>
        </w:rPr>
        <w:t xml:space="preserve"> This was also an application to apply out of time (this time successful). </w:t>
      </w:r>
      <w:r w:rsidR="00A350C9" w:rsidRPr="00A350C9">
        <w:rPr>
          <w:rFonts w:ascii="Arial" w:eastAsia="Times New Roman" w:hAnsi="Arial" w:cs="Arial"/>
          <w:bCs/>
          <w:sz w:val="24"/>
          <w:szCs w:val="24"/>
          <w:lang w:eastAsia="ar-SA"/>
        </w:rPr>
        <w:t xml:space="preserve">The Court of Appeal considered that </w:t>
      </w:r>
      <w:r w:rsidR="00A350C9">
        <w:rPr>
          <w:rFonts w:ascii="Arial" w:eastAsia="Times New Roman" w:hAnsi="Arial" w:cs="Arial"/>
          <w:bCs/>
          <w:sz w:val="24"/>
          <w:szCs w:val="24"/>
          <w:lang w:eastAsia="ar-SA"/>
        </w:rPr>
        <w:t>the trial judge (who had refused leave)</w:t>
      </w:r>
      <w:r w:rsidR="00A350C9" w:rsidRPr="00A350C9">
        <w:rPr>
          <w:rFonts w:ascii="Arial" w:eastAsia="Times New Roman" w:hAnsi="Arial" w:cs="Arial"/>
          <w:bCs/>
          <w:sz w:val="24"/>
          <w:szCs w:val="24"/>
          <w:lang w:eastAsia="ar-SA"/>
        </w:rPr>
        <w:t xml:space="preserve"> </w:t>
      </w:r>
      <w:r w:rsidR="00A350C9">
        <w:rPr>
          <w:rFonts w:ascii="Arial" w:eastAsia="Times New Roman" w:hAnsi="Arial" w:cs="Arial"/>
          <w:bCs/>
          <w:sz w:val="24"/>
          <w:szCs w:val="24"/>
          <w:lang w:eastAsia="ar-SA"/>
        </w:rPr>
        <w:t xml:space="preserve">had </w:t>
      </w:r>
      <w:r w:rsidR="00A350C9" w:rsidRPr="00A350C9">
        <w:rPr>
          <w:rFonts w:ascii="Arial" w:eastAsia="Times New Roman" w:hAnsi="Arial" w:cs="Arial"/>
          <w:bCs/>
          <w:sz w:val="24"/>
          <w:szCs w:val="24"/>
          <w:lang w:eastAsia="ar-SA"/>
        </w:rPr>
        <w:t xml:space="preserve">failed to have proper regard to all the circumstances of the case, including the size of the estate, the length of the relationship, the fact that Mrs Cowan received only chattels of nominal value outright, she had no autonomy, no security and no direct interest in her home of 20 years which was owned through the discretionary trust. </w:t>
      </w:r>
    </w:p>
    <w:p w14:paraId="4F25C8E5" w14:textId="0113474A" w:rsidR="00A350C9" w:rsidRDefault="00A350C9" w:rsidP="00A350C9">
      <w:pPr>
        <w:suppressAutoHyphens/>
        <w:spacing w:before="100" w:beforeAutospacing="1" w:after="100" w:afterAutospacing="1" w:line="240" w:lineRule="auto"/>
        <w:jc w:val="both"/>
        <w:rPr>
          <w:rFonts w:ascii="Arial" w:hAnsi="Arial" w:cs="Arial"/>
          <w:bCs/>
          <w:sz w:val="24"/>
          <w:szCs w:val="24"/>
        </w:rPr>
      </w:pPr>
      <w:r>
        <w:rPr>
          <w:rFonts w:ascii="Arial" w:eastAsia="Times New Roman" w:hAnsi="Arial" w:cs="Arial"/>
          <w:bCs/>
          <w:sz w:val="24"/>
          <w:szCs w:val="24"/>
          <w:lang w:eastAsia="ar-SA"/>
        </w:rPr>
        <w:t xml:space="preserve">Note the decision in </w:t>
      </w:r>
      <w:r w:rsidRPr="00922F69">
        <w:rPr>
          <w:rFonts w:ascii="Arial" w:hAnsi="Arial" w:cs="Arial"/>
          <w:b/>
          <w:i/>
          <w:sz w:val="24"/>
          <w:szCs w:val="24"/>
        </w:rPr>
        <w:t>Hendry v Hendry and Others</w:t>
      </w:r>
      <w:r>
        <w:rPr>
          <w:rFonts w:ascii="Arial" w:hAnsi="Arial" w:cs="Arial"/>
          <w:b/>
          <w:i/>
          <w:sz w:val="24"/>
          <w:szCs w:val="24"/>
        </w:rPr>
        <w:t xml:space="preserve"> </w:t>
      </w:r>
      <w:r w:rsidRPr="00A350C9">
        <w:rPr>
          <w:rFonts w:ascii="Arial" w:hAnsi="Arial" w:cs="Arial"/>
          <w:bCs/>
          <w:sz w:val="24"/>
          <w:szCs w:val="24"/>
        </w:rPr>
        <w:t>[2019] EWHC 1976 (Ch)</w:t>
      </w:r>
      <w:r>
        <w:rPr>
          <w:rFonts w:ascii="Arial" w:hAnsi="Arial" w:cs="Arial"/>
          <w:bCs/>
          <w:sz w:val="24"/>
          <w:szCs w:val="24"/>
        </w:rPr>
        <w:t xml:space="preserve"> where the existence of a pre-nuptial agreement was taken into account.</w:t>
      </w:r>
    </w:p>
    <w:p w14:paraId="17D69F43" w14:textId="77777777" w:rsidR="00A350C9" w:rsidRPr="00A350C9" w:rsidRDefault="00A350C9" w:rsidP="00A350C9">
      <w:pPr>
        <w:suppressAutoHyphens/>
        <w:spacing w:before="100" w:beforeAutospacing="1" w:after="100" w:afterAutospacing="1" w:line="240" w:lineRule="auto"/>
        <w:jc w:val="both"/>
        <w:rPr>
          <w:rFonts w:ascii="Arial" w:eastAsia="Times New Roman" w:hAnsi="Arial" w:cs="Arial"/>
          <w:bCs/>
          <w:sz w:val="24"/>
          <w:szCs w:val="24"/>
          <w:lang w:eastAsia="ar-SA"/>
        </w:rPr>
      </w:pPr>
      <w:r w:rsidRPr="00A350C9">
        <w:rPr>
          <w:rFonts w:ascii="Arial" w:eastAsia="Times New Roman" w:hAnsi="Arial" w:cs="Arial"/>
          <w:bCs/>
          <w:sz w:val="24"/>
          <w:szCs w:val="24"/>
          <w:lang w:eastAsia="ar-SA"/>
        </w:rPr>
        <w:t>The estate was modest, the principal asset being the deceased’s residence worth approximately £220,000.</w:t>
      </w:r>
    </w:p>
    <w:p w14:paraId="5BA29967" w14:textId="1FA87CD9" w:rsidR="00A350C9" w:rsidRPr="00A350C9" w:rsidRDefault="00A350C9" w:rsidP="00A350C9">
      <w:pPr>
        <w:suppressAutoHyphens/>
        <w:spacing w:before="100" w:beforeAutospacing="1" w:after="100" w:afterAutospacing="1" w:line="240" w:lineRule="auto"/>
        <w:jc w:val="both"/>
        <w:rPr>
          <w:rFonts w:ascii="Arial" w:eastAsia="Times New Roman" w:hAnsi="Arial" w:cs="Arial"/>
          <w:bCs/>
          <w:sz w:val="24"/>
          <w:szCs w:val="24"/>
          <w:lang w:eastAsia="ar-SA"/>
        </w:rPr>
      </w:pPr>
      <w:r w:rsidRPr="00A350C9">
        <w:rPr>
          <w:rFonts w:ascii="Arial" w:eastAsia="Times New Roman" w:hAnsi="Arial" w:cs="Arial"/>
          <w:bCs/>
          <w:sz w:val="24"/>
          <w:szCs w:val="24"/>
          <w:lang w:eastAsia="ar-SA"/>
        </w:rPr>
        <w:t>Rosita (the claimant) met the deceased in the Philippines in 2001. She moved from the Philippines to the United Kingdom in 2003. The deceased and Rosita married in 2003: the deceased was 57 and Rosita was 37. They had entered into a pre-nuptial agreement on 8 October 2003 which provided that in the event of the marriage failing Rosita would receive a lump sum of £10,000 and a one-way flight to the Philippines.</w:t>
      </w:r>
    </w:p>
    <w:p w14:paraId="389451A3" w14:textId="77777777" w:rsidR="00A350C9" w:rsidRPr="00A350C9" w:rsidRDefault="00A350C9" w:rsidP="00A350C9">
      <w:pPr>
        <w:suppressAutoHyphens/>
        <w:spacing w:before="100" w:beforeAutospacing="1" w:after="100" w:afterAutospacing="1" w:line="240" w:lineRule="auto"/>
        <w:jc w:val="both"/>
        <w:rPr>
          <w:rFonts w:ascii="Arial" w:eastAsia="Times New Roman" w:hAnsi="Arial" w:cs="Arial"/>
          <w:bCs/>
          <w:sz w:val="24"/>
          <w:szCs w:val="24"/>
          <w:lang w:eastAsia="ar-SA"/>
        </w:rPr>
      </w:pPr>
      <w:r w:rsidRPr="00A350C9">
        <w:rPr>
          <w:rFonts w:ascii="Arial" w:eastAsia="Times New Roman" w:hAnsi="Arial" w:cs="Arial"/>
          <w:bCs/>
          <w:sz w:val="24"/>
          <w:szCs w:val="24"/>
          <w:lang w:eastAsia="ar-SA"/>
        </w:rPr>
        <w:t xml:space="preserve">The existence of the pre-nuptial agreement was significant. </w:t>
      </w:r>
    </w:p>
    <w:p w14:paraId="2D0C9B1B" w14:textId="77777777" w:rsidR="00A350C9" w:rsidRPr="00A350C9" w:rsidRDefault="00A350C9" w:rsidP="00A350C9">
      <w:pPr>
        <w:suppressAutoHyphens/>
        <w:spacing w:before="100" w:beforeAutospacing="1" w:after="100" w:afterAutospacing="1" w:line="240" w:lineRule="auto"/>
        <w:ind w:left="720"/>
        <w:jc w:val="both"/>
        <w:rPr>
          <w:rFonts w:ascii="Arial" w:eastAsia="Times New Roman" w:hAnsi="Arial" w:cs="Arial"/>
          <w:bCs/>
          <w:i/>
          <w:iCs/>
          <w:sz w:val="24"/>
          <w:szCs w:val="24"/>
          <w:lang w:eastAsia="ar-SA"/>
        </w:rPr>
      </w:pPr>
      <w:r w:rsidRPr="00A350C9">
        <w:rPr>
          <w:rFonts w:ascii="Arial" w:eastAsia="Times New Roman" w:hAnsi="Arial" w:cs="Arial"/>
          <w:bCs/>
          <w:i/>
          <w:iCs/>
          <w:sz w:val="24"/>
          <w:szCs w:val="24"/>
          <w:lang w:eastAsia="ar-SA"/>
        </w:rPr>
        <w:lastRenderedPageBreak/>
        <w:t>“Whilst the court retains jurisdiction to make a financial provision order on divorce the fact that the parties entered into a prior agreement which would determine the appropriate financial provision order should the marriage come to an end is something that must be given weight by the court.”</w:t>
      </w:r>
    </w:p>
    <w:p w14:paraId="788BCE08" w14:textId="57A719D2" w:rsidR="00A350C9" w:rsidRDefault="00A350C9" w:rsidP="00A350C9">
      <w:pPr>
        <w:suppressAutoHyphens/>
        <w:spacing w:before="100" w:beforeAutospacing="1" w:after="100" w:afterAutospacing="1" w:line="240" w:lineRule="auto"/>
        <w:jc w:val="both"/>
        <w:rPr>
          <w:rFonts w:ascii="Arial" w:eastAsia="Times New Roman" w:hAnsi="Arial" w:cs="Arial"/>
          <w:bCs/>
          <w:sz w:val="24"/>
          <w:szCs w:val="24"/>
          <w:lang w:eastAsia="ar-SA"/>
        </w:rPr>
      </w:pPr>
      <w:r w:rsidRPr="00A350C9">
        <w:rPr>
          <w:rFonts w:ascii="Arial" w:eastAsia="Times New Roman" w:hAnsi="Arial" w:cs="Arial"/>
          <w:bCs/>
          <w:sz w:val="24"/>
          <w:szCs w:val="24"/>
          <w:lang w:eastAsia="ar-SA"/>
        </w:rPr>
        <w:t>The evidence suggested that the parties entered into the agreement having been given separate independent legal advice, having all the relevant financial information and intending that the agreement would govern the financial consequences of the marriage ending and appreciating that they would be held to the agreement.</w:t>
      </w:r>
    </w:p>
    <w:p w14:paraId="5484C8F5" w14:textId="77777777" w:rsidR="00967117" w:rsidRDefault="00967117" w:rsidP="00967117">
      <w:pPr>
        <w:suppressAutoHyphens/>
        <w:spacing w:before="100" w:beforeAutospacing="1" w:after="100" w:afterAutospacing="1" w:line="240" w:lineRule="auto"/>
        <w:jc w:val="both"/>
        <w:rPr>
          <w:rFonts w:ascii="Arial" w:eastAsia="Times New Roman" w:hAnsi="Arial" w:cs="Arial"/>
          <w:bCs/>
          <w:sz w:val="24"/>
          <w:szCs w:val="24"/>
          <w:lang w:eastAsia="ar-SA"/>
        </w:rPr>
      </w:pPr>
    </w:p>
    <w:p w14:paraId="69117C82" w14:textId="77777777" w:rsidR="00BC059B" w:rsidRDefault="00BC059B">
      <w:pPr>
        <w:rPr>
          <w:rFonts w:ascii="Arial" w:eastAsia="Times New Roman" w:hAnsi="Arial" w:cs="Arial"/>
          <w:b/>
          <w:bCs/>
          <w:sz w:val="24"/>
          <w:szCs w:val="24"/>
          <w:lang w:eastAsia="ar-SA"/>
        </w:rPr>
      </w:pPr>
      <w:r>
        <w:rPr>
          <w:rFonts w:ascii="Arial" w:eastAsia="Times New Roman" w:hAnsi="Arial" w:cs="Arial"/>
          <w:b/>
          <w:bCs/>
          <w:sz w:val="24"/>
          <w:szCs w:val="24"/>
          <w:lang w:eastAsia="ar-SA"/>
        </w:rPr>
        <w:br w:type="page"/>
      </w:r>
    </w:p>
    <w:p w14:paraId="5889E74D" w14:textId="1E7F9D7F" w:rsidR="00FE6F42" w:rsidRPr="00FE6F42" w:rsidRDefault="00BC059B" w:rsidP="00BC059B">
      <w:pPr>
        <w:pBdr>
          <w:top w:val="single" w:sz="4" w:space="1" w:color="auto"/>
          <w:left w:val="single" w:sz="4" w:space="4" w:color="auto"/>
          <w:bottom w:val="single" w:sz="4" w:space="1" w:color="auto"/>
          <w:right w:val="single" w:sz="4" w:space="4" w:color="auto"/>
        </w:pBdr>
        <w:suppressAutoHyphens/>
        <w:spacing w:before="100" w:beforeAutospacing="1" w:after="100" w:afterAutospacing="1" w:line="240" w:lineRule="auto"/>
        <w:jc w:val="both"/>
        <w:rPr>
          <w:rFonts w:ascii="Arial" w:eastAsia="Times New Roman" w:hAnsi="Arial" w:cs="Arial"/>
          <w:bCs/>
          <w:sz w:val="24"/>
          <w:szCs w:val="24"/>
          <w:lang w:eastAsia="ar-SA"/>
        </w:rPr>
      </w:pPr>
      <w:r>
        <w:rPr>
          <w:rFonts w:ascii="Arial" w:eastAsia="Times New Roman" w:hAnsi="Arial" w:cs="Arial"/>
          <w:b/>
          <w:bCs/>
          <w:sz w:val="24"/>
          <w:szCs w:val="24"/>
          <w:lang w:eastAsia="ar-SA"/>
        </w:rPr>
        <w:lastRenderedPageBreak/>
        <w:t>VII.</w:t>
      </w:r>
      <w:r>
        <w:rPr>
          <w:rFonts w:ascii="Arial" w:eastAsia="Times New Roman" w:hAnsi="Arial" w:cs="Arial"/>
          <w:b/>
          <w:bCs/>
          <w:sz w:val="24"/>
          <w:szCs w:val="24"/>
          <w:lang w:eastAsia="ar-SA"/>
        </w:rPr>
        <w:tab/>
        <w:t>GDPR &amp; PERSONAL REPRESENTATIVES</w:t>
      </w:r>
      <w:r w:rsidR="00FE6F42" w:rsidRPr="00FE6F42">
        <w:rPr>
          <w:rFonts w:ascii="Arial" w:eastAsia="Times New Roman" w:hAnsi="Arial" w:cs="Arial"/>
          <w:b/>
          <w:bCs/>
          <w:sz w:val="24"/>
          <w:szCs w:val="24"/>
          <w:lang w:eastAsia="ar-SA"/>
        </w:rPr>
        <w:tab/>
      </w:r>
    </w:p>
    <w:p w14:paraId="3DC5A734" w14:textId="77777777" w:rsidR="00BC059B" w:rsidRPr="00BC059B" w:rsidRDefault="00BC059B" w:rsidP="00BC059B">
      <w:pPr>
        <w:spacing w:after="0" w:line="240" w:lineRule="auto"/>
        <w:jc w:val="both"/>
        <w:rPr>
          <w:rFonts w:ascii="Arial" w:eastAsia="Calibri" w:hAnsi="Arial" w:cs="Arial"/>
          <w:sz w:val="24"/>
          <w:szCs w:val="24"/>
        </w:rPr>
      </w:pPr>
      <w:r w:rsidRPr="00BC059B">
        <w:rPr>
          <w:rFonts w:ascii="Arial" w:eastAsia="Calibri" w:hAnsi="Arial" w:cs="Arial"/>
          <w:sz w:val="24"/>
          <w:szCs w:val="24"/>
        </w:rPr>
        <w:t xml:space="preserve">STEP Guidance on the General Data Protection Regulation (EU) 2016 was published on 24 January 2020 by the Data Protection Working Group dealing with the processing of personal data relating to beneficiaries of trusts and estates. </w:t>
      </w:r>
    </w:p>
    <w:p w14:paraId="62AC3CC5" w14:textId="77777777" w:rsidR="00BC059B" w:rsidRPr="00BC059B" w:rsidRDefault="00BC059B" w:rsidP="00BC059B">
      <w:pPr>
        <w:spacing w:after="0" w:line="240" w:lineRule="auto"/>
        <w:jc w:val="both"/>
        <w:rPr>
          <w:rFonts w:ascii="Arial" w:eastAsia="Calibri" w:hAnsi="Arial" w:cs="Arial"/>
          <w:sz w:val="24"/>
          <w:szCs w:val="24"/>
        </w:rPr>
      </w:pPr>
    </w:p>
    <w:p w14:paraId="04A44B54" w14:textId="77777777" w:rsidR="00BC059B" w:rsidRPr="00BC059B" w:rsidRDefault="00BC059B" w:rsidP="00BC059B">
      <w:pPr>
        <w:spacing w:after="0" w:line="240" w:lineRule="auto"/>
        <w:jc w:val="both"/>
        <w:rPr>
          <w:rFonts w:ascii="Arial" w:eastAsia="Calibri" w:hAnsi="Arial" w:cs="Arial"/>
          <w:sz w:val="24"/>
          <w:szCs w:val="24"/>
        </w:rPr>
      </w:pPr>
      <w:r w:rsidRPr="00BC059B">
        <w:rPr>
          <w:rFonts w:ascii="Arial" w:eastAsia="Calibri" w:hAnsi="Arial" w:cs="Arial"/>
          <w:sz w:val="24"/>
          <w:szCs w:val="24"/>
        </w:rPr>
        <w:t xml:space="preserve">It sets out STEP’s views on what it considers to be reasonable positions for members to take in the absence of any further clarifications from either the Courts or Information Commission Office (ICO). </w:t>
      </w:r>
    </w:p>
    <w:p w14:paraId="2DEA8F5D" w14:textId="77777777" w:rsidR="00BC059B" w:rsidRPr="00BC059B" w:rsidRDefault="00BC059B" w:rsidP="00BC059B">
      <w:pPr>
        <w:spacing w:after="0" w:line="240" w:lineRule="auto"/>
        <w:jc w:val="both"/>
        <w:rPr>
          <w:rFonts w:ascii="Arial" w:eastAsia="Calibri" w:hAnsi="Arial" w:cs="Arial"/>
          <w:sz w:val="24"/>
          <w:szCs w:val="24"/>
        </w:rPr>
      </w:pPr>
    </w:p>
    <w:p w14:paraId="1A8A9EF5" w14:textId="41FDE787" w:rsidR="00BC059B" w:rsidRPr="00BC059B" w:rsidRDefault="00BC059B" w:rsidP="00BC059B">
      <w:pPr>
        <w:spacing w:after="0" w:line="240" w:lineRule="auto"/>
        <w:jc w:val="both"/>
        <w:rPr>
          <w:rFonts w:ascii="Arial" w:eastAsia="Calibri" w:hAnsi="Arial" w:cs="Arial"/>
          <w:sz w:val="24"/>
          <w:szCs w:val="24"/>
        </w:rPr>
      </w:pPr>
      <w:r w:rsidRPr="00BC059B">
        <w:rPr>
          <w:rFonts w:ascii="Arial" w:eastAsia="Calibri" w:hAnsi="Arial" w:cs="Arial"/>
          <w:sz w:val="24"/>
          <w:szCs w:val="24"/>
        </w:rPr>
        <w:t>STEP prepared the guidance following discussion with the ICO</w:t>
      </w:r>
      <w:r>
        <w:rPr>
          <w:rFonts w:ascii="Arial" w:eastAsia="Calibri" w:hAnsi="Arial" w:cs="Arial"/>
          <w:sz w:val="24"/>
          <w:szCs w:val="24"/>
        </w:rPr>
        <w:t>.</w:t>
      </w:r>
      <w:r w:rsidRPr="00BC059B">
        <w:rPr>
          <w:rFonts w:ascii="Arial" w:eastAsia="Calibri" w:hAnsi="Arial" w:cs="Arial"/>
          <w:sz w:val="24"/>
          <w:szCs w:val="24"/>
        </w:rPr>
        <w:t xml:space="preserve"> </w:t>
      </w:r>
    </w:p>
    <w:p w14:paraId="5300CB02" w14:textId="77777777" w:rsidR="00BC059B" w:rsidRPr="00BC059B" w:rsidRDefault="00BC059B" w:rsidP="00BC059B">
      <w:pPr>
        <w:spacing w:after="0" w:line="240" w:lineRule="auto"/>
        <w:ind w:left="720"/>
        <w:jc w:val="both"/>
        <w:rPr>
          <w:rFonts w:ascii="Arial" w:eastAsia="Calibri" w:hAnsi="Arial" w:cs="Arial"/>
          <w:sz w:val="24"/>
          <w:szCs w:val="24"/>
        </w:rPr>
      </w:pPr>
    </w:p>
    <w:p w14:paraId="6078F9CB" w14:textId="1CD9FF30" w:rsidR="00BC059B" w:rsidRPr="00BC059B" w:rsidRDefault="00BC059B" w:rsidP="00BC059B">
      <w:pPr>
        <w:spacing w:after="0" w:line="240" w:lineRule="auto"/>
        <w:jc w:val="both"/>
        <w:rPr>
          <w:rFonts w:ascii="Arial" w:eastAsia="Calibri" w:hAnsi="Arial" w:cs="Arial"/>
          <w:b/>
          <w:sz w:val="24"/>
          <w:szCs w:val="24"/>
        </w:rPr>
      </w:pPr>
      <w:r w:rsidRPr="00BC059B">
        <w:rPr>
          <w:rFonts w:ascii="Arial" w:eastAsia="Calibri" w:hAnsi="Arial" w:cs="Arial"/>
          <w:b/>
          <w:sz w:val="24"/>
          <w:szCs w:val="24"/>
        </w:rPr>
        <w:tab/>
        <w:t>The personal or household activity exemption</w:t>
      </w:r>
    </w:p>
    <w:p w14:paraId="1C13DA6F" w14:textId="77777777" w:rsidR="00BC059B" w:rsidRPr="00BC059B" w:rsidRDefault="00BC059B" w:rsidP="00BC059B">
      <w:pPr>
        <w:spacing w:after="0" w:line="240" w:lineRule="auto"/>
        <w:ind w:left="720"/>
        <w:jc w:val="both"/>
        <w:rPr>
          <w:rFonts w:ascii="Arial" w:eastAsia="Calibri" w:hAnsi="Arial" w:cs="Arial"/>
          <w:sz w:val="24"/>
          <w:szCs w:val="24"/>
        </w:rPr>
      </w:pPr>
    </w:p>
    <w:p w14:paraId="40AF8733" w14:textId="77777777" w:rsidR="00BC059B" w:rsidRPr="00BC059B" w:rsidRDefault="00BC059B" w:rsidP="00BC059B">
      <w:pPr>
        <w:spacing w:after="0" w:line="240" w:lineRule="auto"/>
        <w:ind w:left="720"/>
        <w:jc w:val="both"/>
        <w:rPr>
          <w:rFonts w:ascii="Arial" w:eastAsia="Calibri" w:hAnsi="Arial" w:cs="Arial"/>
          <w:sz w:val="24"/>
          <w:szCs w:val="24"/>
        </w:rPr>
      </w:pPr>
      <w:r w:rsidRPr="00BC059B">
        <w:rPr>
          <w:rFonts w:ascii="Arial" w:eastAsia="Calibri" w:hAnsi="Arial" w:cs="Arial"/>
          <w:sz w:val="24"/>
          <w:szCs w:val="24"/>
        </w:rPr>
        <w:t>Anyone who processes personal data is a data controller and subject to the GDPR. Processing is very widely defined and includes recording and storing data. PRs and trustees will be data controllers unless an exception applies.</w:t>
      </w:r>
    </w:p>
    <w:p w14:paraId="28E2962E" w14:textId="77777777" w:rsidR="00BC059B" w:rsidRPr="00BC059B" w:rsidRDefault="00BC059B" w:rsidP="00BC059B">
      <w:pPr>
        <w:spacing w:after="0" w:line="240" w:lineRule="auto"/>
        <w:ind w:left="720"/>
        <w:jc w:val="both"/>
        <w:rPr>
          <w:rFonts w:ascii="Arial" w:eastAsia="Calibri" w:hAnsi="Arial" w:cs="Arial"/>
          <w:sz w:val="24"/>
          <w:szCs w:val="24"/>
        </w:rPr>
      </w:pPr>
    </w:p>
    <w:p w14:paraId="17A836B5" w14:textId="77777777" w:rsidR="00BC059B" w:rsidRPr="00BC059B" w:rsidRDefault="00BC059B" w:rsidP="00BC059B">
      <w:pPr>
        <w:spacing w:after="0" w:line="240" w:lineRule="auto"/>
        <w:ind w:left="720"/>
        <w:jc w:val="both"/>
        <w:rPr>
          <w:rFonts w:ascii="Arial" w:eastAsia="Calibri" w:hAnsi="Arial" w:cs="Arial"/>
          <w:sz w:val="24"/>
          <w:szCs w:val="24"/>
        </w:rPr>
      </w:pPr>
      <w:r w:rsidRPr="00BC059B">
        <w:rPr>
          <w:rFonts w:ascii="Arial" w:eastAsia="Calibri" w:hAnsi="Arial" w:cs="Arial"/>
          <w:sz w:val="24"/>
          <w:szCs w:val="24"/>
        </w:rPr>
        <w:t>There is an exception where data is processed during the course of a ‘</w:t>
      </w:r>
      <w:r w:rsidRPr="00BC059B">
        <w:rPr>
          <w:rFonts w:ascii="Arial" w:eastAsia="Calibri" w:hAnsi="Arial" w:cs="Arial"/>
          <w:i/>
          <w:sz w:val="24"/>
          <w:szCs w:val="24"/>
        </w:rPr>
        <w:t>purely personal or household activity</w:t>
      </w:r>
      <w:r w:rsidRPr="00BC059B">
        <w:rPr>
          <w:rFonts w:ascii="Arial" w:eastAsia="Calibri" w:hAnsi="Arial" w:cs="Arial"/>
          <w:sz w:val="24"/>
          <w:szCs w:val="24"/>
        </w:rPr>
        <w:t>’.</w:t>
      </w:r>
    </w:p>
    <w:p w14:paraId="2B4788FC" w14:textId="77777777" w:rsidR="00BC059B" w:rsidRPr="00BC059B" w:rsidRDefault="00BC059B" w:rsidP="00BC059B">
      <w:pPr>
        <w:spacing w:after="0" w:line="240" w:lineRule="auto"/>
        <w:ind w:left="720"/>
        <w:jc w:val="both"/>
        <w:rPr>
          <w:rFonts w:ascii="Arial" w:eastAsia="Calibri" w:hAnsi="Arial" w:cs="Arial"/>
          <w:sz w:val="24"/>
          <w:szCs w:val="24"/>
        </w:rPr>
      </w:pPr>
    </w:p>
    <w:p w14:paraId="725EED1B" w14:textId="77777777" w:rsidR="00BC059B" w:rsidRPr="00BC059B" w:rsidRDefault="00BC059B" w:rsidP="00BC059B">
      <w:pPr>
        <w:spacing w:after="0" w:line="240" w:lineRule="auto"/>
        <w:ind w:left="720"/>
        <w:jc w:val="both"/>
        <w:rPr>
          <w:rFonts w:ascii="Arial" w:eastAsia="Calibri" w:hAnsi="Arial" w:cs="Arial"/>
          <w:sz w:val="24"/>
          <w:szCs w:val="24"/>
        </w:rPr>
      </w:pPr>
      <w:r w:rsidRPr="00BC059B">
        <w:rPr>
          <w:rFonts w:ascii="Arial" w:eastAsia="Calibri" w:hAnsi="Arial" w:cs="Arial"/>
          <w:sz w:val="24"/>
          <w:szCs w:val="24"/>
        </w:rPr>
        <w:t>STEP considers that a trustee or personal representative is within the scope of the ‘</w:t>
      </w:r>
      <w:r w:rsidRPr="00BC059B">
        <w:rPr>
          <w:rFonts w:ascii="Arial" w:eastAsia="Calibri" w:hAnsi="Arial" w:cs="Arial"/>
          <w:i/>
          <w:sz w:val="24"/>
          <w:szCs w:val="24"/>
        </w:rPr>
        <w:t xml:space="preserve">purely personal or household activity’ </w:t>
      </w:r>
      <w:r w:rsidRPr="00BC059B">
        <w:rPr>
          <w:rFonts w:ascii="Arial" w:eastAsia="Calibri" w:hAnsi="Arial" w:cs="Arial"/>
          <w:sz w:val="24"/>
          <w:szCs w:val="24"/>
        </w:rPr>
        <w:t>exemption (and therefore not subject to the GDPR) if they are:</w:t>
      </w:r>
    </w:p>
    <w:p w14:paraId="3EBB228A" w14:textId="77777777" w:rsidR="00BC059B" w:rsidRPr="00BC059B" w:rsidRDefault="00BC059B" w:rsidP="00BC059B">
      <w:pPr>
        <w:spacing w:after="0" w:line="240" w:lineRule="auto"/>
        <w:ind w:left="720"/>
        <w:jc w:val="both"/>
        <w:rPr>
          <w:rFonts w:ascii="Arial" w:eastAsia="Calibri" w:hAnsi="Arial" w:cs="Arial"/>
          <w:sz w:val="24"/>
          <w:szCs w:val="24"/>
        </w:rPr>
      </w:pPr>
    </w:p>
    <w:p w14:paraId="2C28DA2E" w14:textId="77777777" w:rsidR="00BC059B" w:rsidRPr="00BC059B" w:rsidRDefault="00BC059B" w:rsidP="00BC059B">
      <w:pPr>
        <w:numPr>
          <w:ilvl w:val="0"/>
          <w:numId w:val="35"/>
        </w:numPr>
        <w:spacing w:after="0" w:line="240" w:lineRule="auto"/>
        <w:ind w:left="1276" w:hanging="567"/>
        <w:jc w:val="both"/>
        <w:rPr>
          <w:rFonts w:ascii="Arial" w:eastAsia="Calibri" w:hAnsi="Arial" w:cs="Arial"/>
          <w:sz w:val="24"/>
          <w:szCs w:val="24"/>
        </w:rPr>
      </w:pPr>
      <w:r w:rsidRPr="00BC059B">
        <w:rPr>
          <w:rFonts w:ascii="Arial" w:eastAsia="Calibri" w:hAnsi="Arial" w:cs="Arial"/>
          <w:sz w:val="24"/>
          <w:szCs w:val="24"/>
        </w:rPr>
        <w:t>acting in their personal capacity as opposed to a professional capacity; and</w:t>
      </w:r>
    </w:p>
    <w:p w14:paraId="3646EC94" w14:textId="77777777" w:rsidR="00BC059B" w:rsidRPr="00BC059B" w:rsidRDefault="00BC059B" w:rsidP="00BC059B">
      <w:pPr>
        <w:spacing w:after="0" w:line="240" w:lineRule="auto"/>
        <w:ind w:left="1276" w:hanging="567"/>
        <w:jc w:val="both"/>
        <w:rPr>
          <w:rFonts w:ascii="Arial" w:eastAsia="Calibri" w:hAnsi="Arial" w:cs="Arial"/>
          <w:sz w:val="24"/>
          <w:szCs w:val="24"/>
        </w:rPr>
      </w:pPr>
    </w:p>
    <w:p w14:paraId="59EEC9BF" w14:textId="77777777" w:rsidR="00BC059B" w:rsidRPr="00BC059B" w:rsidRDefault="00BC059B" w:rsidP="00BC059B">
      <w:pPr>
        <w:numPr>
          <w:ilvl w:val="0"/>
          <w:numId w:val="35"/>
        </w:numPr>
        <w:spacing w:after="0" w:line="240" w:lineRule="auto"/>
        <w:ind w:left="1276" w:hanging="567"/>
        <w:jc w:val="both"/>
        <w:rPr>
          <w:rFonts w:ascii="Arial" w:eastAsia="Calibri" w:hAnsi="Arial" w:cs="Arial"/>
          <w:sz w:val="24"/>
          <w:szCs w:val="24"/>
        </w:rPr>
      </w:pPr>
      <w:r w:rsidRPr="00BC059B">
        <w:rPr>
          <w:rFonts w:ascii="Arial" w:eastAsia="Calibri" w:hAnsi="Arial" w:cs="Arial"/>
          <w:sz w:val="24"/>
          <w:szCs w:val="24"/>
        </w:rPr>
        <w:t>unpaid (for these purposes, expenses do not qualify as payment).</w:t>
      </w:r>
    </w:p>
    <w:p w14:paraId="38BE9860" w14:textId="77777777" w:rsidR="00BC059B" w:rsidRPr="00BC059B" w:rsidRDefault="00BC059B" w:rsidP="00BC059B">
      <w:pPr>
        <w:spacing w:after="0" w:line="240" w:lineRule="auto"/>
        <w:ind w:left="720"/>
        <w:jc w:val="both"/>
        <w:rPr>
          <w:rFonts w:ascii="Arial" w:eastAsia="Calibri" w:hAnsi="Arial" w:cs="Arial"/>
          <w:sz w:val="24"/>
          <w:szCs w:val="24"/>
        </w:rPr>
      </w:pPr>
    </w:p>
    <w:p w14:paraId="02E87B9D" w14:textId="44A80B6C" w:rsidR="00BC059B" w:rsidRDefault="00BC059B" w:rsidP="00BC059B">
      <w:pPr>
        <w:spacing w:after="0" w:line="240" w:lineRule="auto"/>
        <w:jc w:val="both"/>
        <w:rPr>
          <w:rFonts w:ascii="Arial" w:eastAsia="Calibri" w:hAnsi="Arial" w:cs="Arial"/>
          <w:sz w:val="24"/>
          <w:szCs w:val="24"/>
        </w:rPr>
      </w:pPr>
      <w:r w:rsidRPr="00BC059B">
        <w:rPr>
          <w:rFonts w:ascii="Arial" w:eastAsia="Calibri" w:hAnsi="Arial" w:cs="Arial"/>
          <w:sz w:val="24"/>
          <w:szCs w:val="24"/>
        </w:rPr>
        <w:t>STEP considers that regarding lay people as data controllers would lead to “</w:t>
      </w:r>
      <w:r w:rsidRPr="00BC059B">
        <w:rPr>
          <w:rFonts w:ascii="Arial" w:eastAsia="Calibri" w:hAnsi="Arial" w:cs="Arial"/>
          <w:i/>
          <w:sz w:val="24"/>
          <w:szCs w:val="24"/>
        </w:rPr>
        <w:t xml:space="preserve">innumerable accidental breaches of data protection laws and a reduction in the willingness of individuals to accept these roles”. </w:t>
      </w:r>
      <w:r w:rsidRPr="00BC059B">
        <w:rPr>
          <w:rFonts w:ascii="Arial" w:eastAsia="Calibri" w:hAnsi="Arial" w:cs="Arial"/>
          <w:sz w:val="24"/>
          <w:szCs w:val="24"/>
        </w:rPr>
        <w:t>It notes that this approach would be in line with the view of the Court of Appeal that the courts should</w:t>
      </w:r>
      <w:r w:rsidRPr="00BC059B">
        <w:rPr>
          <w:rFonts w:ascii="Arial" w:eastAsia="Calibri" w:hAnsi="Arial" w:cs="Arial"/>
          <w:i/>
          <w:sz w:val="24"/>
          <w:szCs w:val="24"/>
        </w:rPr>
        <w:t xml:space="preserve"> “be cautious about criminalising what, for many people, are their ordinary activities</w:t>
      </w:r>
      <w:r w:rsidRPr="00BC059B">
        <w:rPr>
          <w:rFonts w:ascii="Arial" w:eastAsia="Calibri" w:hAnsi="Arial" w:cs="Arial"/>
          <w:sz w:val="24"/>
          <w:szCs w:val="24"/>
        </w:rPr>
        <w:t>”.</w:t>
      </w:r>
    </w:p>
    <w:p w14:paraId="7DCAFEDB" w14:textId="6FA0027B" w:rsidR="00BC059B" w:rsidRDefault="00BC059B" w:rsidP="00BC059B">
      <w:pPr>
        <w:spacing w:after="0" w:line="240" w:lineRule="auto"/>
        <w:jc w:val="both"/>
        <w:rPr>
          <w:rFonts w:ascii="Arial" w:eastAsia="Calibri" w:hAnsi="Arial" w:cs="Arial"/>
          <w:sz w:val="24"/>
          <w:szCs w:val="24"/>
        </w:rPr>
      </w:pPr>
    </w:p>
    <w:p w14:paraId="50031E82" w14:textId="4E063275" w:rsidR="00BC059B" w:rsidRPr="00BC059B" w:rsidRDefault="00BC059B" w:rsidP="00BC059B">
      <w:pPr>
        <w:spacing w:after="0" w:line="240" w:lineRule="auto"/>
        <w:jc w:val="both"/>
        <w:rPr>
          <w:rFonts w:ascii="Arial" w:eastAsia="Calibri" w:hAnsi="Arial" w:cs="Arial"/>
          <w:sz w:val="24"/>
          <w:szCs w:val="24"/>
        </w:rPr>
      </w:pPr>
      <w:r w:rsidRPr="00BC059B">
        <w:rPr>
          <w:rFonts w:ascii="Arial" w:eastAsia="Calibri" w:hAnsi="Arial" w:cs="Arial"/>
          <w:sz w:val="24"/>
          <w:szCs w:val="24"/>
        </w:rPr>
        <w:t>The ICO has offered qualified support to the suggested approach.</w:t>
      </w:r>
    </w:p>
    <w:p w14:paraId="1EE67612" w14:textId="77777777" w:rsidR="00BC059B" w:rsidRDefault="00BC059B" w:rsidP="00BC059B">
      <w:pPr>
        <w:spacing w:after="0" w:line="240" w:lineRule="auto"/>
        <w:jc w:val="both"/>
        <w:rPr>
          <w:rFonts w:ascii="Arial" w:eastAsia="Calibri" w:hAnsi="Arial" w:cs="Arial"/>
          <w:sz w:val="24"/>
          <w:szCs w:val="24"/>
        </w:rPr>
      </w:pPr>
    </w:p>
    <w:p w14:paraId="2B86975E" w14:textId="77777777" w:rsidR="00BC059B" w:rsidRDefault="00BC059B" w:rsidP="00BC059B">
      <w:pPr>
        <w:spacing w:after="0" w:line="240" w:lineRule="auto"/>
        <w:jc w:val="both"/>
        <w:rPr>
          <w:rFonts w:ascii="Arial" w:eastAsia="Calibri" w:hAnsi="Arial" w:cs="Arial"/>
          <w:sz w:val="24"/>
          <w:szCs w:val="24"/>
        </w:rPr>
      </w:pPr>
      <w:r w:rsidRPr="00BC059B">
        <w:rPr>
          <w:rFonts w:ascii="Arial" w:eastAsia="Calibri" w:hAnsi="Arial" w:cs="Arial"/>
          <w:sz w:val="24"/>
          <w:szCs w:val="24"/>
        </w:rPr>
        <w:t xml:space="preserve">During the course of 2019, STEP submitted the following question to the ICO: </w:t>
      </w:r>
    </w:p>
    <w:p w14:paraId="23FC7BD9" w14:textId="77777777" w:rsidR="00BC059B" w:rsidRDefault="00BC059B" w:rsidP="00BC059B">
      <w:pPr>
        <w:spacing w:after="0" w:line="240" w:lineRule="auto"/>
        <w:jc w:val="both"/>
        <w:rPr>
          <w:rFonts w:ascii="Arial" w:eastAsia="Calibri" w:hAnsi="Arial" w:cs="Arial"/>
          <w:sz w:val="24"/>
          <w:szCs w:val="24"/>
        </w:rPr>
      </w:pPr>
    </w:p>
    <w:p w14:paraId="7FEBAD58" w14:textId="704AA85E" w:rsidR="00BC059B" w:rsidRPr="00BC059B" w:rsidRDefault="00BC059B" w:rsidP="00BC059B">
      <w:pPr>
        <w:spacing w:after="0" w:line="240" w:lineRule="auto"/>
        <w:ind w:left="720"/>
        <w:jc w:val="both"/>
        <w:rPr>
          <w:rFonts w:ascii="Arial" w:eastAsia="Calibri" w:hAnsi="Arial" w:cs="Arial"/>
          <w:i/>
          <w:iCs/>
          <w:sz w:val="24"/>
          <w:szCs w:val="24"/>
        </w:rPr>
      </w:pPr>
      <w:r w:rsidRPr="00BC059B">
        <w:rPr>
          <w:rFonts w:ascii="Arial" w:eastAsia="Calibri" w:hAnsi="Arial" w:cs="Arial"/>
          <w:i/>
          <w:iCs/>
          <w:sz w:val="24"/>
          <w:szCs w:val="24"/>
        </w:rPr>
        <w:t>“Please confirm that data processing carried on by individuals acting as fiduciaries in a non-professional capacity and without payment should fall within the scope of the personal or household activities exemption in [Article 2(2)(c)].”</w:t>
      </w:r>
    </w:p>
    <w:p w14:paraId="76492CDA" w14:textId="77777777" w:rsidR="00BC059B" w:rsidRDefault="00BC059B" w:rsidP="00BC059B">
      <w:pPr>
        <w:spacing w:after="0" w:line="240" w:lineRule="auto"/>
        <w:jc w:val="both"/>
        <w:rPr>
          <w:rFonts w:ascii="Arial" w:eastAsia="Calibri" w:hAnsi="Arial" w:cs="Arial"/>
          <w:sz w:val="24"/>
          <w:szCs w:val="24"/>
        </w:rPr>
      </w:pPr>
    </w:p>
    <w:p w14:paraId="1AB5AA9E" w14:textId="77777777" w:rsidR="00BC059B" w:rsidRDefault="00BC059B" w:rsidP="00BC059B">
      <w:pPr>
        <w:spacing w:after="0" w:line="240" w:lineRule="auto"/>
        <w:jc w:val="both"/>
        <w:rPr>
          <w:rFonts w:ascii="Arial" w:eastAsia="Calibri" w:hAnsi="Arial" w:cs="Arial"/>
          <w:sz w:val="24"/>
          <w:szCs w:val="24"/>
        </w:rPr>
      </w:pPr>
      <w:r w:rsidRPr="00BC059B">
        <w:rPr>
          <w:rFonts w:ascii="Arial" w:eastAsia="Calibri" w:hAnsi="Arial" w:cs="Arial"/>
          <w:sz w:val="24"/>
          <w:szCs w:val="24"/>
        </w:rPr>
        <w:t>In April 2020, the ICO responded to say:</w:t>
      </w:r>
    </w:p>
    <w:p w14:paraId="4AD53C87" w14:textId="77777777" w:rsidR="00BC059B" w:rsidRDefault="00BC059B" w:rsidP="00BC059B">
      <w:pPr>
        <w:spacing w:after="0" w:line="240" w:lineRule="auto"/>
        <w:jc w:val="both"/>
        <w:rPr>
          <w:rFonts w:ascii="Arial" w:eastAsia="Calibri" w:hAnsi="Arial" w:cs="Arial"/>
          <w:sz w:val="24"/>
          <w:szCs w:val="24"/>
        </w:rPr>
      </w:pPr>
    </w:p>
    <w:p w14:paraId="0F6600DB" w14:textId="465F232D" w:rsidR="00BC059B" w:rsidRPr="00BC059B" w:rsidRDefault="00BC059B" w:rsidP="00BC059B">
      <w:pPr>
        <w:spacing w:after="0" w:line="240" w:lineRule="auto"/>
        <w:ind w:left="720"/>
        <w:jc w:val="both"/>
        <w:rPr>
          <w:rFonts w:ascii="Arial" w:eastAsia="Calibri" w:hAnsi="Arial" w:cs="Arial"/>
          <w:i/>
          <w:iCs/>
          <w:sz w:val="24"/>
          <w:szCs w:val="24"/>
        </w:rPr>
      </w:pPr>
      <w:r w:rsidRPr="00BC059B">
        <w:rPr>
          <w:rFonts w:ascii="Arial" w:eastAsia="Calibri" w:hAnsi="Arial" w:cs="Arial"/>
          <w:i/>
          <w:iCs/>
          <w:sz w:val="24"/>
          <w:szCs w:val="24"/>
        </w:rPr>
        <w:t xml:space="preserve"> “Based upon the information provided in the</w:t>
      </w:r>
    </w:p>
    <w:p w14:paraId="573B9D03" w14:textId="77777777" w:rsidR="00BC059B" w:rsidRPr="00BC059B" w:rsidRDefault="00BC059B" w:rsidP="00BC059B">
      <w:pPr>
        <w:spacing w:after="0" w:line="240" w:lineRule="auto"/>
        <w:ind w:left="720"/>
        <w:jc w:val="both"/>
        <w:rPr>
          <w:rFonts w:ascii="Arial" w:eastAsia="Calibri" w:hAnsi="Arial" w:cs="Arial"/>
          <w:i/>
          <w:iCs/>
          <w:sz w:val="24"/>
          <w:szCs w:val="24"/>
        </w:rPr>
      </w:pPr>
      <w:r w:rsidRPr="00BC059B">
        <w:rPr>
          <w:rFonts w:ascii="Arial" w:eastAsia="Calibri" w:hAnsi="Arial" w:cs="Arial"/>
          <w:i/>
          <w:iCs/>
          <w:sz w:val="24"/>
          <w:szCs w:val="24"/>
        </w:rPr>
        <w:t>examples, it is likely that the individuals would fall within the exemption at [Art 2(2)(c)],</w:t>
      </w:r>
    </w:p>
    <w:p w14:paraId="55192AC9" w14:textId="77777777" w:rsidR="00BC059B" w:rsidRDefault="00BC059B" w:rsidP="00BC059B">
      <w:pPr>
        <w:spacing w:after="0" w:line="240" w:lineRule="auto"/>
        <w:ind w:left="720"/>
        <w:jc w:val="both"/>
        <w:rPr>
          <w:rFonts w:ascii="Arial" w:eastAsia="Calibri" w:hAnsi="Arial" w:cs="Arial"/>
          <w:sz w:val="24"/>
          <w:szCs w:val="24"/>
        </w:rPr>
      </w:pPr>
      <w:r w:rsidRPr="00BC059B">
        <w:rPr>
          <w:rFonts w:ascii="Arial" w:eastAsia="Calibri" w:hAnsi="Arial" w:cs="Arial"/>
          <w:i/>
          <w:iCs/>
          <w:sz w:val="24"/>
          <w:szCs w:val="24"/>
        </w:rPr>
        <w:lastRenderedPageBreak/>
        <w:t>however, each situation should be considered in light of the individual circumstances.”</w:t>
      </w:r>
      <w:r w:rsidRPr="00BC059B">
        <w:rPr>
          <w:rFonts w:ascii="Arial" w:eastAsia="Calibri" w:hAnsi="Arial" w:cs="Arial"/>
          <w:sz w:val="24"/>
          <w:szCs w:val="24"/>
        </w:rPr>
        <w:t xml:space="preserve"> </w:t>
      </w:r>
    </w:p>
    <w:p w14:paraId="16E4CA02" w14:textId="77777777" w:rsidR="00BC059B" w:rsidRDefault="00BC059B" w:rsidP="00BC059B">
      <w:pPr>
        <w:spacing w:after="0" w:line="240" w:lineRule="auto"/>
        <w:ind w:left="720"/>
        <w:jc w:val="both"/>
        <w:rPr>
          <w:rFonts w:ascii="Arial" w:eastAsia="Calibri" w:hAnsi="Arial" w:cs="Arial"/>
          <w:sz w:val="24"/>
          <w:szCs w:val="24"/>
        </w:rPr>
      </w:pPr>
    </w:p>
    <w:p w14:paraId="3C151DA9" w14:textId="79937C9B" w:rsidR="00BC059B" w:rsidRDefault="00BC059B" w:rsidP="00BC059B">
      <w:pPr>
        <w:spacing w:after="0" w:line="240" w:lineRule="auto"/>
        <w:jc w:val="both"/>
        <w:rPr>
          <w:rFonts w:ascii="Arial" w:eastAsia="Calibri" w:hAnsi="Arial" w:cs="Arial"/>
          <w:sz w:val="24"/>
          <w:szCs w:val="24"/>
        </w:rPr>
      </w:pPr>
      <w:r w:rsidRPr="00BC059B">
        <w:rPr>
          <w:rFonts w:ascii="Arial" w:eastAsia="Calibri" w:hAnsi="Arial" w:cs="Arial"/>
          <w:sz w:val="24"/>
          <w:szCs w:val="24"/>
        </w:rPr>
        <w:t>The</w:t>
      </w:r>
      <w:r>
        <w:rPr>
          <w:rFonts w:ascii="Arial" w:eastAsia="Calibri" w:hAnsi="Arial" w:cs="Arial"/>
          <w:sz w:val="24"/>
          <w:szCs w:val="24"/>
        </w:rPr>
        <w:t xml:space="preserve"> </w:t>
      </w:r>
      <w:r w:rsidRPr="00BC059B">
        <w:rPr>
          <w:rFonts w:ascii="Arial" w:eastAsia="Calibri" w:hAnsi="Arial" w:cs="Arial"/>
          <w:sz w:val="24"/>
          <w:szCs w:val="24"/>
        </w:rPr>
        <w:t>“</w:t>
      </w:r>
      <w:r w:rsidRPr="00BC059B">
        <w:rPr>
          <w:rFonts w:ascii="Arial" w:eastAsia="Calibri" w:hAnsi="Arial" w:cs="Arial"/>
          <w:i/>
          <w:iCs/>
          <w:sz w:val="24"/>
          <w:szCs w:val="24"/>
        </w:rPr>
        <w:t>examples</w:t>
      </w:r>
      <w:r w:rsidRPr="00BC059B">
        <w:rPr>
          <w:rFonts w:ascii="Arial" w:eastAsia="Calibri" w:hAnsi="Arial" w:cs="Arial"/>
          <w:sz w:val="24"/>
          <w:szCs w:val="24"/>
        </w:rPr>
        <w:t>” referred to were a number of examples of fiduciary arrangements considered</w:t>
      </w:r>
      <w:r>
        <w:rPr>
          <w:rFonts w:ascii="Arial" w:eastAsia="Calibri" w:hAnsi="Arial" w:cs="Arial"/>
          <w:sz w:val="24"/>
          <w:szCs w:val="24"/>
        </w:rPr>
        <w:t xml:space="preserve"> </w:t>
      </w:r>
      <w:r w:rsidRPr="00BC059B">
        <w:rPr>
          <w:rFonts w:ascii="Arial" w:eastAsia="Calibri" w:hAnsi="Arial" w:cs="Arial"/>
          <w:sz w:val="24"/>
          <w:szCs w:val="24"/>
        </w:rPr>
        <w:t>during the course of discussions between STEP and the ICO, including:</w:t>
      </w:r>
    </w:p>
    <w:p w14:paraId="2A202CE3" w14:textId="77777777" w:rsidR="00BC059B" w:rsidRPr="00BC059B" w:rsidRDefault="00BC059B" w:rsidP="00BC059B">
      <w:pPr>
        <w:spacing w:after="0" w:line="240" w:lineRule="auto"/>
        <w:jc w:val="both"/>
        <w:rPr>
          <w:rFonts w:ascii="Arial" w:eastAsia="Calibri" w:hAnsi="Arial" w:cs="Arial"/>
          <w:sz w:val="24"/>
          <w:szCs w:val="24"/>
        </w:rPr>
      </w:pPr>
    </w:p>
    <w:p w14:paraId="111FC021" w14:textId="34FC1F9B" w:rsidR="00BC059B" w:rsidRPr="00BC059B" w:rsidRDefault="00BC059B" w:rsidP="00BC059B">
      <w:pPr>
        <w:pStyle w:val="ListParagraph"/>
        <w:numPr>
          <w:ilvl w:val="0"/>
          <w:numId w:val="28"/>
        </w:numPr>
        <w:spacing w:after="0" w:line="240" w:lineRule="auto"/>
        <w:ind w:left="709" w:hanging="425"/>
        <w:jc w:val="both"/>
        <w:rPr>
          <w:rFonts w:ascii="Arial" w:eastAsia="Calibri" w:hAnsi="Arial" w:cs="Arial"/>
          <w:sz w:val="24"/>
          <w:szCs w:val="24"/>
        </w:rPr>
      </w:pPr>
      <w:r w:rsidRPr="00BC059B">
        <w:rPr>
          <w:rFonts w:ascii="Arial" w:eastAsia="Calibri" w:hAnsi="Arial" w:cs="Arial"/>
          <w:sz w:val="24"/>
          <w:szCs w:val="24"/>
        </w:rPr>
        <w:t>individuals jointly owning residential property;</w:t>
      </w:r>
    </w:p>
    <w:p w14:paraId="0A1A5C67" w14:textId="566CA584" w:rsidR="00BC059B" w:rsidRPr="00BC059B" w:rsidRDefault="00BC059B" w:rsidP="00BC059B">
      <w:pPr>
        <w:pStyle w:val="ListParagraph"/>
        <w:numPr>
          <w:ilvl w:val="0"/>
          <w:numId w:val="28"/>
        </w:numPr>
        <w:spacing w:after="0" w:line="240" w:lineRule="auto"/>
        <w:ind w:left="709" w:hanging="425"/>
        <w:jc w:val="both"/>
        <w:rPr>
          <w:rFonts w:ascii="Arial" w:eastAsia="Calibri" w:hAnsi="Arial" w:cs="Arial"/>
          <w:sz w:val="24"/>
          <w:szCs w:val="24"/>
        </w:rPr>
      </w:pPr>
      <w:r w:rsidRPr="00BC059B">
        <w:rPr>
          <w:rFonts w:ascii="Arial" w:eastAsia="Calibri" w:hAnsi="Arial" w:cs="Arial"/>
          <w:sz w:val="24"/>
          <w:szCs w:val="24"/>
        </w:rPr>
        <w:t>trustees holding assets in various circumstances, such as for minors under the terms</w:t>
      </w:r>
    </w:p>
    <w:p w14:paraId="3057878D" w14:textId="77777777" w:rsidR="00BC059B" w:rsidRPr="00BC059B" w:rsidRDefault="00BC059B" w:rsidP="00BC059B">
      <w:pPr>
        <w:pStyle w:val="ListParagraph"/>
        <w:numPr>
          <w:ilvl w:val="0"/>
          <w:numId w:val="28"/>
        </w:numPr>
        <w:spacing w:after="0" w:line="240" w:lineRule="auto"/>
        <w:ind w:left="709" w:hanging="425"/>
        <w:jc w:val="both"/>
        <w:rPr>
          <w:rFonts w:ascii="Arial" w:eastAsia="Calibri" w:hAnsi="Arial" w:cs="Arial"/>
          <w:sz w:val="24"/>
          <w:szCs w:val="24"/>
        </w:rPr>
      </w:pPr>
      <w:r w:rsidRPr="00BC059B">
        <w:rPr>
          <w:rFonts w:ascii="Arial" w:eastAsia="Calibri" w:hAnsi="Arial" w:cs="Arial"/>
          <w:sz w:val="24"/>
          <w:szCs w:val="24"/>
        </w:rPr>
        <w:t>of a will or intestacy, or for disabled beneficiaries;</w:t>
      </w:r>
    </w:p>
    <w:p w14:paraId="28F8058A" w14:textId="3C3447CE" w:rsidR="00BC059B" w:rsidRPr="00BC059B" w:rsidRDefault="00C16480" w:rsidP="00BC059B">
      <w:pPr>
        <w:pStyle w:val="ListParagraph"/>
        <w:numPr>
          <w:ilvl w:val="0"/>
          <w:numId w:val="28"/>
        </w:numPr>
        <w:spacing w:after="0" w:line="240" w:lineRule="auto"/>
        <w:ind w:left="709" w:hanging="425"/>
        <w:jc w:val="both"/>
        <w:rPr>
          <w:rFonts w:ascii="Arial" w:eastAsia="Calibri" w:hAnsi="Arial" w:cs="Arial"/>
          <w:sz w:val="24"/>
          <w:szCs w:val="24"/>
        </w:rPr>
      </w:pPr>
      <w:r>
        <w:rPr>
          <w:rFonts w:ascii="Arial" w:eastAsia="Calibri" w:hAnsi="Arial" w:cs="Arial"/>
          <w:sz w:val="24"/>
          <w:szCs w:val="24"/>
        </w:rPr>
        <w:t>PR</w:t>
      </w:r>
      <w:r w:rsidR="00BC059B" w:rsidRPr="00BC059B">
        <w:rPr>
          <w:rFonts w:ascii="Arial" w:eastAsia="Calibri" w:hAnsi="Arial" w:cs="Arial"/>
          <w:sz w:val="24"/>
          <w:szCs w:val="24"/>
        </w:rPr>
        <w:t>s administering an estate; and</w:t>
      </w:r>
    </w:p>
    <w:p w14:paraId="6F0E3A33" w14:textId="3B176C3A" w:rsidR="00BC059B" w:rsidRPr="00C16480" w:rsidRDefault="00BC059B" w:rsidP="009A2786">
      <w:pPr>
        <w:pStyle w:val="ListParagraph"/>
        <w:numPr>
          <w:ilvl w:val="0"/>
          <w:numId w:val="28"/>
        </w:numPr>
        <w:spacing w:after="0" w:line="240" w:lineRule="auto"/>
        <w:ind w:left="709" w:hanging="425"/>
        <w:jc w:val="both"/>
        <w:rPr>
          <w:rFonts w:ascii="Arial" w:eastAsia="Calibri" w:hAnsi="Arial" w:cs="Arial"/>
          <w:sz w:val="24"/>
          <w:szCs w:val="24"/>
        </w:rPr>
      </w:pPr>
      <w:r w:rsidRPr="00C16480">
        <w:rPr>
          <w:rFonts w:ascii="Arial" w:eastAsia="Calibri" w:hAnsi="Arial" w:cs="Arial"/>
          <w:sz w:val="24"/>
          <w:szCs w:val="24"/>
        </w:rPr>
        <w:t>an individual acting as an attorney for a family member under a lasting power of</w:t>
      </w:r>
      <w:r w:rsidR="00C16480" w:rsidRPr="00C16480">
        <w:rPr>
          <w:rFonts w:ascii="Arial" w:eastAsia="Calibri" w:hAnsi="Arial" w:cs="Arial"/>
          <w:sz w:val="24"/>
          <w:szCs w:val="24"/>
        </w:rPr>
        <w:t xml:space="preserve"> </w:t>
      </w:r>
      <w:r w:rsidRPr="00C16480">
        <w:rPr>
          <w:rFonts w:ascii="Arial" w:eastAsia="Calibri" w:hAnsi="Arial" w:cs="Arial"/>
          <w:sz w:val="24"/>
          <w:szCs w:val="24"/>
        </w:rPr>
        <w:t>attorney.</w:t>
      </w:r>
    </w:p>
    <w:p w14:paraId="15E909FF" w14:textId="77777777" w:rsidR="00BC059B" w:rsidRDefault="00BC059B" w:rsidP="00BC059B">
      <w:pPr>
        <w:spacing w:after="0" w:line="240" w:lineRule="auto"/>
        <w:jc w:val="both"/>
        <w:rPr>
          <w:rFonts w:ascii="Arial" w:eastAsia="Calibri" w:hAnsi="Arial" w:cs="Arial"/>
          <w:sz w:val="24"/>
          <w:szCs w:val="24"/>
        </w:rPr>
      </w:pPr>
    </w:p>
    <w:p w14:paraId="0FDBA87F" w14:textId="2F66CD91" w:rsidR="00BC059B" w:rsidRPr="00BC059B" w:rsidRDefault="00BC059B" w:rsidP="00BC059B">
      <w:pPr>
        <w:spacing w:after="0" w:line="240" w:lineRule="auto"/>
        <w:jc w:val="both"/>
        <w:rPr>
          <w:rFonts w:ascii="Arial" w:eastAsia="Calibri" w:hAnsi="Arial" w:cs="Arial"/>
          <w:sz w:val="24"/>
          <w:szCs w:val="24"/>
        </w:rPr>
      </w:pPr>
      <w:r w:rsidRPr="00BC059B">
        <w:rPr>
          <w:rFonts w:ascii="Arial" w:eastAsia="Calibri" w:hAnsi="Arial" w:cs="Arial"/>
          <w:sz w:val="24"/>
          <w:szCs w:val="24"/>
        </w:rPr>
        <w:t>Whilst the ICO’s response does not go into any specifics, it does appear to confirm the</w:t>
      </w:r>
    </w:p>
    <w:p w14:paraId="78DBCE40" w14:textId="77777777" w:rsidR="00BC059B" w:rsidRPr="00BC059B" w:rsidRDefault="00BC059B" w:rsidP="00BC059B">
      <w:pPr>
        <w:spacing w:after="0" w:line="240" w:lineRule="auto"/>
        <w:jc w:val="both"/>
        <w:rPr>
          <w:rFonts w:ascii="Arial" w:eastAsia="Calibri" w:hAnsi="Arial" w:cs="Arial"/>
          <w:sz w:val="24"/>
          <w:szCs w:val="24"/>
        </w:rPr>
      </w:pPr>
      <w:r w:rsidRPr="00BC059B">
        <w:rPr>
          <w:rFonts w:ascii="Arial" w:eastAsia="Calibri" w:hAnsi="Arial" w:cs="Arial"/>
          <w:sz w:val="24"/>
          <w:szCs w:val="24"/>
        </w:rPr>
        <w:t>principle that an individual acting in a fiduciary capacity can nevertheless fall within the</w:t>
      </w:r>
    </w:p>
    <w:p w14:paraId="688C0A50" w14:textId="0C9FBAB3" w:rsidR="00BC059B" w:rsidRDefault="00BC059B" w:rsidP="00BC059B">
      <w:pPr>
        <w:spacing w:after="0" w:line="240" w:lineRule="auto"/>
        <w:jc w:val="both"/>
        <w:rPr>
          <w:rFonts w:ascii="Arial" w:eastAsia="Calibri" w:hAnsi="Arial" w:cs="Arial"/>
          <w:sz w:val="24"/>
          <w:szCs w:val="24"/>
        </w:rPr>
      </w:pPr>
      <w:r w:rsidRPr="00BC059B">
        <w:rPr>
          <w:rFonts w:ascii="Arial" w:eastAsia="Calibri" w:hAnsi="Arial" w:cs="Arial"/>
          <w:sz w:val="24"/>
          <w:szCs w:val="24"/>
        </w:rPr>
        <w:t>scope of the Article 2(2)(c) exemption provided that they are not acting in a professional</w:t>
      </w:r>
      <w:r>
        <w:rPr>
          <w:rFonts w:ascii="Arial" w:eastAsia="Calibri" w:hAnsi="Arial" w:cs="Arial"/>
          <w:sz w:val="24"/>
          <w:szCs w:val="24"/>
        </w:rPr>
        <w:t xml:space="preserve"> </w:t>
      </w:r>
      <w:r w:rsidRPr="00BC059B">
        <w:rPr>
          <w:rFonts w:ascii="Arial" w:eastAsia="Calibri" w:hAnsi="Arial" w:cs="Arial"/>
          <w:sz w:val="24"/>
          <w:szCs w:val="24"/>
        </w:rPr>
        <w:t>capacity and are not paid for their services.</w:t>
      </w:r>
    </w:p>
    <w:p w14:paraId="66CA1F65" w14:textId="732352A2" w:rsidR="00C16480" w:rsidRDefault="00C16480" w:rsidP="00BC059B">
      <w:pPr>
        <w:spacing w:after="0" w:line="240" w:lineRule="auto"/>
        <w:jc w:val="both"/>
        <w:rPr>
          <w:rFonts w:ascii="Arial" w:eastAsia="Calibri" w:hAnsi="Arial" w:cs="Arial"/>
          <w:sz w:val="24"/>
          <w:szCs w:val="24"/>
        </w:rPr>
      </w:pPr>
    </w:p>
    <w:p w14:paraId="2D26151A" w14:textId="31A5721E" w:rsidR="00C16480" w:rsidRPr="00BC059B" w:rsidRDefault="00C16480" w:rsidP="00BC059B">
      <w:pPr>
        <w:spacing w:after="0" w:line="240" w:lineRule="auto"/>
        <w:jc w:val="both"/>
        <w:rPr>
          <w:rFonts w:ascii="Arial" w:eastAsia="Calibri" w:hAnsi="Arial" w:cs="Arial"/>
          <w:sz w:val="24"/>
          <w:szCs w:val="24"/>
        </w:rPr>
      </w:pPr>
      <w:r>
        <w:rPr>
          <w:rFonts w:ascii="Arial" w:eastAsia="Calibri" w:hAnsi="Arial" w:cs="Arial"/>
          <w:sz w:val="24"/>
          <w:szCs w:val="24"/>
        </w:rPr>
        <w:t>Note, however, that firms acting for PRs will have their own obligations.</w:t>
      </w:r>
    </w:p>
    <w:p w14:paraId="5275E7FE" w14:textId="3D4C64D8" w:rsidR="002F068B" w:rsidRPr="00897599" w:rsidRDefault="002F068B" w:rsidP="00897599">
      <w:pPr>
        <w:rPr>
          <w:rFonts w:ascii="Arial" w:eastAsia="Times New Roman" w:hAnsi="Arial" w:cs="Arial"/>
          <w:b/>
          <w:bCs/>
          <w:color w:val="000000"/>
          <w:sz w:val="24"/>
          <w:szCs w:val="24"/>
          <w:lang w:eastAsia="en-GB"/>
        </w:rPr>
      </w:pPr>
    </w:p>
    <w:sectPr w:rsidR="002F068B" w:rsidRPr="00897599" w:rsidSect="008123A1">
      <w:headerReference w:type="even" r:id="rId12"/>
      <w:headerReference w:type="default" r:id="rId13"/>
      <w:footerReference w:type="even" r:id="rId14"/>
      <w:footerReference w:type="default" r:id="rId15"/>
      <w:headerReference w:type="first" r:id="rId16"/>
      <w:footerReference w:type="first" r:id="rId17"/>
      <w:pgSz w:w="11906" w:h="16838" w:code="9"/>
      <w:pgMar w:top="130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56171" w14:textId="77777777" w:rsidR="00D06C02" w:rsidRDefault="00D06C02" w:rsidP="008E4FA7">
      <w:pPr>
        <w:spacing w:after="0" w:line="240" w:lineRule="auto"/>
      </w:pPr>
      <w:r>
        <w:separator/>
      </w:r>
    </w:p>
  </w:endnote>
  <w:endnote w:type="continuationSeparator" w:id="0">
    <w:p w14:paraId="7C73AD50" w14:textId="77777777" w:rsidR="00D06C02" w:rsidRDefault="00D06C02" w:rsidP="008E4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564DF" w14:textId="77777777" w:rsidR="000575C5" w:rsidRDefault="00057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9493238"/>
      <w:docPartObj>
        <w:docPartGallery w:val="Page Numbers (Bottom of Page)"/>
        <w:docPartUnique/>
      </w:docPartObj>
    </w:sdtPr>
    <w:sdtEndPr>
      <w:rPr>
        <w:noProof/>
      </w:rPr>
    </w:sdtEndPr>
    <w:sdtContent>
      <w:p w14:paraId="41A48EA8" w14:textId="77777777" w:rsidR="000575C5" w:rsidRDefault="000575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0195D3" w14:textId="77777777" w:rsidR="000575C5" w:rsidRDefault="000575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6A41D" w14:textId="77777777" w:rsidR="000575C5" w:rsidRDefault="00057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DCF31" w14:textId="77777777" w:rsidR="00D06C02" w:rsidRDefault="00D06C02" w:rsidP="008E4FA7">
      <w:pPr>
        <w:spacing w:after="0" w:line="240" w:lineRule="auto"/>
      </w:pPr>
      <w:r>
        <w:separator/>
      </w:r>
    </w:p>
  </w:footnote>
  <w:footnote w:type="continuationSeparator" w:id="0">
    <w:p w14:paraId="0B10DB82" w14:textId="77777777" w:rsidR="00D06C02" w:rsidRDefault="00D06C02" w:rsidP="008E4FA7">
      <w:pPr>
        <w:spacing w:after="0" w:line="240" w:lineRule="auto"/>
      </w:pPr>
      <w:r>
        <w:continuationSeparator/>
      </w:r>
    </w:p>
  </w:footnote>
  <w:footnote w:id="1">
    <w:p w14:paraId="1542CCB3" w14:textId="77777777" w:rsidR="000575C5" w:rsidRPr="00025A9B" w:rsidRDefault="000575C5" w:rsidP="001E0D27">
      <w:pPr>
        <w:pStyle w:val="FootnoteText"/>
        <w:rPr>
          <w:rFonts w:ascii="Arial" w:hAnsi="Arial" w:cs="Arial"/>
        </w:rPr>
      </w:pPr>
      <w:r w:rsidRPr="00025A9B">
        <w:rPr>
          <w:rStyle w:val="FootnoteReference"/>
          <w:rFonts w:ascii="Arial" w:hAnsi="Arial" w:cs="Arial"/>
        </w:rPr>
        <w:footnoteRef/>
      </w:r>
      <w:r w:rsidRPr="00025A9B">
        <w:rPr>
          <w:rFonts w:ascii="Arial" w:hAnsi="Arial" w:cs="Arial"/>
        </w:rPr>
        <w:t xml:space="preserve">  Under the Mobile Homes Act 2013, s3</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9E227" w14:textId="77777777" w:rsidR="000575C5" w:rsidRDefault="000575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7FC35" w14:textId="77777777" w:rsidR="000575C5" w:rsidRDefault="000575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8EC01" w14:textId="77777777" w:rsidR="000575C5" w:rsidRDefault="00057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2160" w:hanging="360"/>
      </w:pPr>
      <w:rPr>
        <w:rFonts w:ascii="Symbol" w:hAnsi="Symbol" w:cs="Symbol"/>
      </w:rPr>
    </w:lvl>
    <w:lvl w:ilvl="1">
      <w:start w:val="1"/>
      <w:numFmt w:val="bullet"/>
      <w:lvlText w:val="•"/>
      <w:lvlJc w:val="left"/>
      <w:pPr>
        <w:tabs>
          <w:tab w:val="num" w:pos="0"/>
        </w:tabs>
        <w:ind w:left="3240" w:hanging="720"/>
      </w:pPr>
      <w:rPr>
        <w:rFonts w:ascii="Arial" w:hAnsi="Arial" w:cs="Arial"/>
      </w:rPr>
    </w:lvl>
    <w:lvl w:ilvl="2">
      <w:start w:val="1"/>
      <w:numFmt w:val="bullet"/>
      <w:lvlText w:val=""/>
      <w:lvlJc w:val="left"/>
      <w:pPr>
        <w:tabs>
          <w:tab w:val="num" w:pos="0"/>
        </w:tabs>
        <w:ind w:left="3600" w:hanging="360"/>
      </w:pPr>
      <w:rPr>
        <w:rFonts w:ascii="Wingdings" w:hAnsi="Wingdings" w:cs="Wingdings"/>
      </w:rPr>
    </w:lvl>
    <w:lvl w:ilvl="3">
      <w:start w:val="1"/>
      <w:numFmt w:val="bullet"/>
      <w:lvlText w:val=""/>
      <w:lvlJc w:val="left"/>
      <w:pPr>
        <w:tabs>
          <w:tab w:val="num" w:pos="0"/>
        </w:tabs>
        <w:ind w:left="4320" w:hanging="360"/>
      </w:pPr>
      <w:rPr>
        <w:rFonts w:ascii="Symbol" w:hAnsi="Symbol" w:cs="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cs="Wingdings"/>
      </w:rPr>
    </w:lvl>
    <w:lvl w:ilvl="6">
      <w:start w:val="1"/>
      <w:numFmt w:val="bullet"/>
      <w:lvlText w:val=""/>
      <w:lvlJc w:val="left"/>
      <w:pPr>
        <w:tabs>
          <w:tab w:val="num" w:pos="0"/>
        </w:tabs>
        <w:ind w:left="6480" w:hanging="360"/>
      </w:pPr>
      <w:rPr>
        <w:rFonts w:ascii="Symbol" w:hAnsi="Symbol" w:cs="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cs="Wingdings"/>
      </w:rPr>
    </w:lvl>
  </w:abstractNum>
  <w:abstractNum w:abstractNumId="3" w15:restartNumberingAfterBreak="0">
    <w:nsid w:val="00000009"/>
    <w:multiLevelType w:val="multilevel"/>
    <w:tmpl w:val="00000009"/>
    <w:name w:val="WW8Num9"/>
    <w:lvl w:ilvl="0">
      <w:start w:val="1"/>
      <w:numFmt w:val="bullet"/>
      <w:lvlText w:val=""/>
      <w:lvlJc w:val="left"/>
      <w:pPr>
        <w:tabs>
          <w:tab w:val="num" w:pos="0"/>
        </w:tabs>
        <w:ind w:left="1440" w:hanging="360"/>
      </w:pPr>
      <w:rPr>
        <w:rFonts w:ascii="Symbol" w:hAnsi="Symbol" w:cs="Symbol"/>
      </w:rPr>
    </w:lvl>
    <w:lvl w:ilvl="1">
      <w:start w:val="1"/>
      <w:numFmt w:val="bullet"/>
      <w:lvlText w:val="-"/>
      <w:lvlJc w:val="left"/>
      <w:pPr>
        <w:tabs>
          <w:tab w:val="num" w:pos="0"/>
        </w:tabs>
        <w:ind w:left="2160" w:hanging="360"/>
      </w:pPr>
      <w:rPr>
        <w:rFonts w:ascii="Arial" w:hAnsi="Arial" w:cs="Arial"/>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4" w15:restartNumberingAfterBreak="0">
    <w:nsid w:val="0000000A"/>
    <w:multiLevelType w:val="multilevel"/>
    <w:tmpl w:val="E84E7622"/>
    <w:name w:val="WW8Num10"/>
    <w:lvl w:ilvl="0">
      <w:start w:val="1"/>
      <w:numFmt w:val="lowerLetter"/>
      <w:lvlText w:val="(%1)"/>
      <w:lvlJc w:val="left"/>
      <w:pPr>
        <w:tabs>
          <w:tab w:val="num" w:pos="-501"/>
        </w:tabs>
        <w:ind w:left="1070" w:hanging="360"/>
      </w:pPr>
      <w:rPr>
        <w:rFonts w:ascii="Arial" w:hAnsi="Arial" w:hint="default"/>
        <w:b w:val="0"/>
        <w:i w:val="0"/>
        <w:sz w:val="24"/>
      </w:rPr>
    </w:lvl>
    <w:lvl w:ilvl="1">
      <w:start w:val="1"/>
      <w:numFmt w:val="lowerLetter"/>
      <w:lvlText w:val="%2."/>
      <w:lvlJc w:val="left"/>
      <w:pPr>
        <w:tabs>
          <w:tab w:val="num" w:pos="0"/>
        </w:tabs>
        <w:ind w:left="2291" w:hanging="360"/>
      </w:pPr>
    </w:lvl>
    <w:lvl w:ilvl="2">
      <w:start w:val="1"/>
      <w:numFmt w:val="lowerRoman"/>
      <w:lvlText w:val="%2.%3."/>
      <w:lvlJc w:val="right"/>
      <w:pPr>
        <w:tabs>
          <w:tab w:val="num" w:pos="0"/>
        </w:tabs>
        <w:ind w:left="3011" w:hanging="180"/>
      </w:pPr>
    </w:lvl>
    <w:lvl w:ilvl="3">
      <w:start w:val="1"/>
      <w:numFmt w:val="decimal"/>
      <w:lvlText w:val="%2.%3.%4."/>
      <w:lvlJc w:val="left"/>
      <w:pPr>
        <w:tabs>
          <w:tab w:val="num" w:pos="0"/>
        </w:tabs>
        <w:ind w:left="3731" w:hanging="360"/>
      </w:pPr>
    </w:lvl>
    <w:lvl w:ilvl="4">
      <w:start w:val="1"/>
      <w:numFmt w:val="lowerLetter"/>
      <w:lvlText w:val="%2.%3.%4.%5."/>
      <w:lvlJc w:val="left"/>
      <w:pPr>
        <w:tabs>
          <w:tab w:val="num" w:pos="0"/>
        </w:tabs>
        <w:ind w:left="4451" w:hanging="360"/>
      </w:pPr>
    </w:lvl>
    <w:lvl w:ilvl="5">
      <w:start w:val="1"/>
      <w:numFmt w:val="lowerRoman"/>
      <w:lvlText w:val="%2.%3.%4.%5.%6."/>
      <w:lvlJc w:val="right"/>
      <w:pPr>
        <w:tabs>
          <w:tab w:val="num" w:pos="0"/>
        </w:tabs>
        <w:ind w:left="5171" w:hanging="180"/>
      </w:pPr>
    </w:lvl>
    <w:lvl w:ilvl="6">
      <w:start w:val="1"/>
      <w:numFmt w:val="decimal"/>
      <w:lvlText w:val="%2.%3.%4.%5.%6.%7."/>
      <w:lvlJc w:val="left"/>
      <w:pPr>
        <w:tabs>
          <w:tab w:val="num" w:pos="0"/>
        </w:tabs>
        <w:ind w:left="5891" w:hanging="360"/>
      </w:pPr>
    </w:lvl>
    <w:lvl w:ilvl="7">
      <w:start w:val="1"/>
      <w:numFmt w:val="lowerLetter"/>
      <w:lvlText w:val="%2.%3.%4.%5.%6.%7.%8."/>
      <w:lvlJc w:val="left"/>
      <w:pPr>
        <w:tabs>
          <w:tab w:val="num" w:pos="0"/>
        </w:tabs>
        <w:ind w:left="6611" w:hanging="360"/>
      </w:pPr>
    </w:lvl>
    <w:lvl w:ilvl="8">
      <w:start w:val="1"/>
      <w:numFmt w:val="lowerRoman"/>
      <w:lvlText w:val="%2.%3.%4.%5.%6.%7.%8.%9."/>
      <w:lvlJc w:val="right"/>
      <w:pPr>
        <w:tabs>
          <w:tab w:val="num" w:pos="0"/>
        </w:tabs>
        <w:ind w:left="7331" w:hanging="180"/>
      </w:pPr>
    </w:lvl>
  </w:abstractNum>
  <w:abstractNum w:abstractNumId="5" w15:restartNumberingAfterBreak="0">
    <w:nsid w:val="0000000B"/>
    <w:multiLevelType w:val="multilevel"/>
    <w:tmpl w:val="0000000B"/>
    <w:name w:val="WW8Num11"/>
    <w:lvl w:ilvl="0">
      <w:start w:val="1"/>
      <w:numFmt w:val="bullet"/>
      <w:lvlText w:val=""/>
      <w:lvlJc w:val="left"/>
      <w:pPr>
        <w:tabs>
          <w:tab w:val="num" w:pos="0"/>
        </w:tabs>
        <w:ind w:left="1080" w:hanging="360"/>
      </w:pPr>
      <w:rPr>
        <w:rFonts w:ascii="Symbol" w:hAnsi="Symbol" w:cs="Symbol"/>
        <w:sz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6" w15:restartNumberingAfterBreak="0">
    <w:nsid w:val="0000000C"/>
    <w:multiLevelType w:val="multilevel"/>
    <w:tmpl w:val="0000000C"/>
    <w:name w:val="WW8Num12"/>
    <w:lvl w:ilvl="0">
      <w:start w:val="1"/>
      <w:numFmt w:val="bullet"/>
      <w:lvlText w:val=""/>
      <w:lvlJc w:val="left"/>
      <w:pPr>
        <w:tabs>
          <w:tab w:val="num" w:pos="0"/>
        </w:tabs>
        <w:ind w:left="1440" w:hanging="360"/>
      </w:pPr>
      <w:rPr>
        <w:rFonts w:ascii="Symbol" w:hAnsi="Symbol" w:cs="Symbol"/>
        <w:sz w:val="24"/>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7" w15:restartNumberingAfterBreak="0">
    <w:nsid w:val="0000000E"/>
    <w:multiLevelType w:val="multilevel"/>
    <w:tmpl w:val="0000000E"/>
    <w:name w:val="WW8Num14"/>
    <w:lvl w:ilvl="0">
      <w:start w:val="1"/>
      <w:numFmt w:val="bullet"/>
      <w:lvlText w:val=""/>
      <w:lvlJc w:val="left"/>
      <w:pPr>
        <w:tabs>
          <w:tab w:val="num" w:pos="0"/>
        </w:tabs>
        <w:ind w:left="360" w:hanging="360"/>
      </w:pPr>
      <w:rPr>
        <w:rFonts w:ascii="Symbol" w:hAnsi="Symbol" w:cs="Symbol"/>
        <w:sz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8" w15:restartNumberingAfterBreak="0">
    <w:nsid w:val="00000011"/>
    <w:multiLevelType w:val="multilevel"/>
    <w:tmpl w:val="00000011"/>
    <w:name w:val="WW8Num18"/>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9" w15:restartNumberingAfterBreak="0">
    <w:nsid w:val="02547961"/>
    <w:multiLevelType w:val="hybridMultilevel"/>
    <w:tmpl w:val="2368D9A0"/>
    <w:lvl w:ilvl="0" w:tplc="BCCE9EEA">
      <w:start w:val="1"/>
      <w:numFmt w:val="lowerLetter"/>
      <w:lvlText w:val="(%1)"/>
      <w:lvlJc w:val="left"/>
      <w:pPr>
        <w:ind w:left="1119" w:hanging="399"/>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055A0656"/>
    <w:multiLevelType w:val="hybridMultilevel"/>
    <w:tmpl w:val="96BE60EA"/>
    <w:lvl w:ilvl="0" w:tplc="A47CAFEE">
      <w:start w:val="1"/>
      <w:numFmt w:val="lowerLetter"/>
      <w:lvlText w:val="(%1)"/>
      <w:lvlJc w:val="left"/>
      <w:pPr>
        <w:ind w:left="1440" w:hanging="360"/>
      </w:pPr>
      <w:rPr>
        <w:rFonts w:hint="default"/>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09FC3A74"/>
    <w:multiLevelType w:val="hybridMultilevel"/>
    <w:tmpl w:val="F430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E04FBA"/>
    <w:multiLevelType w:val="hybridMultilevel"/>
    <w:tmpl w:val="92E0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A84D76"/>
    <w:multiLevelType w:val="hybridMultilevel"/>
    <w:tmpl w:val="2990BCEA"/>
    <w:lvl w:ilvl="0" w:tplc="54220D62">
      <w:start w:val="1"/>
      <w:numFmt w:val="decimal"/>
      <w:lvlText w:val="(%1)"/>
      <w:lvlJc w:val="left"/>
      <w:pPr>
        <w:ind w:left="1440" w:hanging="360"/>
      </w:pPr>
      <w:rPr>
        <w:rFonts w:ascii="Arial" w:hAnsi="Arial" w:hint="default"/>
        <w:b w:val="0"/>
        <w:i w:val="0"/>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128C2699"/>
    <w:multiLevelType w:val="hybridMultilevel"/>
    <w:tmpl w:val="B50286E4"/>
    <w:lvl w:ilvl="0" w:tplc="54220D62">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2FA435D"/>
    <w:multiLevelType w:val="hybridMultilevel"/>
    <w:tmpl w:val="709CB1BE"/>
    <w:lvl w:ilvl="0" w:tplc="54220D62">
      <w:start w:val="1"/>
      <w:numFmt w:val="decimal"/>
      <w:lvlText w:val="(%1)"/>
      <w:lvlJc w:val="left"/>
      <w:pPr>
        <w:ind w:left="1440" w:hanging="360"/>
      </w:pPr>
      <w:rPr>
        <w:rFonts w:ascii="Arial" w:hAnsi="Arial" w:hint="default"/>
        <w:b w:val="0"/>
        <w:i w:val="0"/>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140E06C9"/>
    <w:multiLevelType w:val="hybridMultilevel"/>
    <w:tmpl w:val="F5D8F7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54C38D8"/>
    <w:multiLevelType w:val="hybridMultilevel"/>
    <w:tmpl w:val="C47A1EA0"/>
    <w:lvl w:ilvl="0" w:tplc="2BE098E2">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155E6F04"/>
    <w:multiLevelType w:val="hybridMultilevel"/>
    <w:tmpl w:val="F3FCBACC"/>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142ECC"/>
    <w:multiLevelType w:val="hybridMultilevel"/>
    <w:tmpl w:val="AE78C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5415FD"/>
    <w:multiLevelType w:val="hybridMultilevel"/>
    <w:tmpl w:val="AE488414"/>
    <w:lvl w:ilvl="0" w:tplc="10201E82">
      <w:start w:val="1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2174105C"/>
    <w:multiLevelType w:val="hybridMultilevel"/>
    <w:tmpl w:val="BAB2CB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3645C5D"/>
    <w:multiLevelType w:val="hybridMultilevel"/>
    <w:tmpl w:val="D68EA6B4"/>
    <w:lvl w:ilvl="0" w:tplc="08090001">
      <w:start w:val="1"/>
      <w:numFmt w:val="bullet"/>
      <w:lvlText w:val=""/>
      <w:lvlJc w:val="left"/>
      <w:pPr>
        <w:ind w:left="720" w:hanging="360"/>
      </w:pPr>
      <w:rPr>
        <w:rFonts w:ascii="Symbol" w:hAnsi="Symbol" w:hint="default"/>
      </w:rPr>
    </w:lvl>
    <w:lvl w:ilvl="1" w:tplc="D99A90C6">
      <w:start w:val="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76A55D3"/>
    <w:multiLevelType w:val="hybridMultilevel"/>
    <w:tmpl w:val="6DA02A3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2A221279"/>
    <w:multiLevelType w:val="hybridMultilevel"/>
    <w:tmpl w:val="1E24C6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A67707F"/>
    <w:multiLevelType w:val="hybridMultilevel"/>
    <w:tmpl w:val="1718746A"/>
    <w:lvl w:ilvl="0" w:tplc="A47CAFEE">
      <w:start w:val="1"/>
      <w:numFmt w:val="lowerLetter"/>
      <w:lvlText w:val="(%1)"/>
      <w:lvlJc w:val="left"/>
      <w:pPr>
        <w:ind w:left="1440" w:hanging="360"/>
      </w:pPr>
      <w:rPr>
        <w:rFonts w:hint="default"/>
        <w:b w:val="0"/>
        <w:i w:val="0"/>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2AD308FF"/>
    <w:multiLevelType w:val="hybridMultilevel"/>
    <w:tmpl w:val="9EEC7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09160FF"/>
    <w:multiLevelType w:val="hybridMultilevel"/>
    <w:tmpl w:val="A080C11C"/>
    <w:lvl w:ilvl="0" w:tplc="08090001">
      <w:start w:val="1"/>
      <w:numFmt w:val="bullet"/>
      <w:lvlText w:val=""/>
      <w:lvlJc w:val="left"/>
      <w:pPr>
        <w:ind w:left="720" w:hanging="360"/>
      </w:pPr>
      <w:rPr>
        <w:rFonts w:ascii="Symbol" w:hAnsi="Symbol" w:hint="default"/>
      </w:rPr>
    </w:lvl>
    <w:lvl w:ilvl="1" w:tplc="DC0EC754">
      <w:start w:val="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9A63FD"/>
    <w:multiLevelType w:val="hybridMultilevel"/>
    <w:tmpl w:val="96A24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0723C2"/>
    <w:multiLevelType w:val="hybridMultilevel"/>
    <w:tmpl w:val="FBBABFA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0" w15:restartNumberingAfterBreak="0">
    <w:nsid w:val="48BD2F27"/>
    <w:multiLevelType w:val="hybridMultilevel"/>
    <w:tmpl w:val="3FBC960C"/>
    <w:lvl w:ilvl="0" w:tplc="08090013">
      <w:start w:val="1"/>
      <w:numFmt w:val="upperRoman"/>
      <w:lvlText w:val="%1."/>
      <w:lvlJc w:val="right"/>
      <w:pPr>
        <w:ind w:left="192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4A1C5668"/>
    <w:multiLevelType w:val="hybridMultilevel"/>
    <w:tmpl w:val="709CB1BE"/>
    <w:lvl w:ilvl="0" w:tplc="54220D62">
      <w:start w:val="1"/>
      <w:numFmt w:val="decimal"/>
      <w:lvlText w:val="(%1)"/>
      <w:lvlJc w:val="left"/>
      <w:pPr>
        <w:ind w:left="1440" w:hanging="360"/>
      </w:pPr>
      <w:rPr>
        <w:rFonts w:ascii="Arial" w:hAnsi="Arial" w:hint="default"/>
        <w:b w:val="0"/>
        <w:i w:val="0"/>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4D8826EC"/>
    <w:multiLevelType w:val="hybridMultilevel"/>
    <w:tmpl w:val="387EC2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FD25E6D"/>
    <w:multiLevelType w:val="hybridMultilevel"/>
    <w:tmpl w:val="C61CBBAA"/>
    <w:lvl w:ilvl="0" w:tplc="08090001">
      <w:start w:val="1"/>
      <w:numFmt w:val="bullet"/>
      <w:lvlText w:val=""/>
      <w:lvlJc w:val="left"/>
      <w:pPr>
        <w:ind w:left="2227" w:hanging="360"/>
      </w:pPr>
      <w:rPr>
        <w:rFonts w:ascii="Symbol" w:hAnsi="Symbol" w:hint="default"/>
      </w:rPr>
    </w:lvl>
    <w:lvl w:ilvl="1" w:tplc="08090003" w:tentative="1">
      <w:start w:val="1"/>
      <w:numFmt w:val="bullet"/>
      <w:lvlText w:val="o"/>
      <w:lvlJc w:val="left"/>
      <w:pPr>
        <w:ind w:left="2947" w:hanging="360"/>
      </w:pPr>
      <w:rPr>
        <w:rFonts w:ascii="Courier New" w:hAnsi="Courier New" w:cs="Courier New" w:hint="default"/>
      </w:rPr>
    </w:lvl>
    <w:lvl w:ilvl="2" w:tplc="08090005" w:tentative="1">
      <w:start w:val="1"/>
      <w:numFmt w:val="bullet"/>
      <w:lvlText w:val=""/>
      <w:lvlJc w:val="left"/>
      <w:pPr>
        <w:ind w:left="3667" w:hanging="360"/>
      </w:pPr>
      <w:rPr>
        <w:rFonts w:ascii="Wingdings" w:hAnsi="Wingdings" w:hint="default"/>
      </w:rPr>
    </w:lvl>
    <w:lvl w:ilvl="3" w:tplc="08090001" w:tentative="1">
      <w:start w:val="1"/>
      <w:numFmt w:val="bullet"/>
      <w:lvlText w:val=""/>
      <w:lvlJc w:val="left"/>
      <w:pPr>
        <w:ind w:left="4387" w:hanging="360"/>
      </w:pPr>
      <w:rPr>
        <w:rFonts w:ascii="Symbol" w:hAnsi="Symbol" w:hint="default"/>
      </w:rPr>
    </w:lvl>
    <w:lvl w:ilvl="4" w:tplc="08090003" w:tentative="1">
      <w:start w:val="1"/>
      <w:numFmt w:val="bullet"/>
      <w:lvlText w:val="o"/>
      <w:lvlJc w:val="left"/>
      <w:pPr>
        <w:ind w:left="5107" w:hanging="360"/>
      </w:pPr>
      <w:rPr>
        <w:rFonts w:ascii="Courier New" w:hAnsi="Courier New" w:cs="Courier New" w:hint="default"/>
      </w:rPr>
    </w:lvl>
    <w:lvl w:ilvl="5" w:tplc="08090005" w:tentative="1">
      <w:start w:val="1"/>
      <w:numFmt w:val="bullet"/>
      <w:lvlText w:val=""/>
      <w:lvlJc w:val="left"/>
      <w:pPr>
        <w:ind w:left="5827" w:hanging="360"/>
      </w:pPr>
      <w:rPr>
        <w:rFonts w:ascii="Wingdings" w:hAnsi="Wingdings" w:hint="default"/>
      </w:rPr>
    </w:lvl>
    <w:lvl w:ilvl="6" w:tplc="08090001" w:tentative="1">
      <w:start w:val="1"/>
      <w:numFmt w:val="bullet"/>
      <w:lvlText w:val=""/>
      <w:lvlJc w:val="left"/>
      <w:pPr>
        <w:ind w:left="6547" w:hanging="360"/>
      </w:pPr>
      <w:rPr>
        <w:rFonts w:ascii="Symbol" w:hAnsi="Symbol" w:hint="default"/>
      </w:rPr>
    </w:lvl>
    <w:lvl w:ilvl="7" w:tplc="08090003" w:tentative="1">
      <w:start w:val="1"/>
      <w:numFmt w:val="bullet"/>
      <w:lvlText w:val="o"/>
      <w:lvlJc w:val="left"/>
      <w:pPr>
        <w:ind w:left="7267" w:hanging="360"/>
      </w:pPr>
      <w:rPr>
        <w:rFonts w:ascii="Courier New" w:hAnsi="Courier New" w:cs="Courier New" w:hint="default"/>
      </w:rPr>
    </w:lvl>
    <w:lvl w:ilvl="8" w:tplc="08090005" w:tentative="1">
      <w:start w:val="1"/>
      <w:numFmt w:val="bullet"/>
      <w:lvlText w:val=""/>
      <w:lvlJc w:val="left"/>
      <w:pPr>
        <w:ind w:left="7987" w:hanging="360"/>
      </w:pPr>
      <w:rPr>
        <w:rFonts w:ascii="Wingdings" w:hAnsi="Wingdings" w:hint="default"/>
      </w:rPr>
    </w:lvl>
  </w:abstractNum>
  <w:abstractNum w:abstractNumId="34" w15:restartNumberingAfterBreak="0">
    <w:nsid w:val="53FD5366"/>
    <w:multiLevelType w:val="hybridMultilevel"/>
    <w:tmpl w:val="778C9DC8"/>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35" w15:restartNumberingAfterBreak="0">
    <w:nsid w:val="55AC6EE9"/>
    <w:multiLevelType w:val="multilevel"/>
    <w:tmpl w:val="4DCA8DE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ascii="Arial" w:hAnsi="Arial" w:hint="default"/>
        <w:b w:val="0"/>
        <w:i w:val="0"/>
        <w:sz w:val="24"/>
        <w:szCs w:val="22"/>
      </w:rPr>
    </w:lvl>
    <w:lvl w:ilvl="2">
      <w:start w:val="1"/>
      <w:numFmt w:val="decimal"/>
      <w:lvlText w:val="(%3)"/>
      <w:lvlJc w:val="left"/>
      <w:pPr>
        <w:ind w:left="1800" w:hanging="360"/>
      </w:pPr>
      <w:rPr>
        <w:rFonts w:hint="default"/>
        <w:b w:val="0"/>
        <w:i w:val="0"/>
        <w:sz w:val="24"/>
      </w:rPr>
    </w:lvl>
    <w:lvl w:ilvl="3">
      <w:start w:val="1"/>
      <w:numFmt w:val="lowerLetter"/>
      <w:lvlText w:val="(%4)"/>
      <w:lvlJc w:val="left"/>
      <w:pPr>
        <w:tabs>
          <w:tab w:val="num" w:pos="2520"/>
        </w:tabs>
        <w:ind w:left="2520" w:hanging="360"/>
      </w:pPr>
      <w:rPr>
        <w:rFonts w:hint="default"/>
        <w:b w:val="0"/>
        <w:i w:val="0"/>
        <w:sz w:val="24"/>
      </w:rPr>
    </w:lvl>
    <w:lvl w:ilvl="4">
      <w:start w:val="1"/>
      <w:numFmt w:val="decimal"/>
      <w:lvlText w:val="(%5)"/>
      <w:lvlJc w:val="left"/>
      <w:pPr>
        <w:ind w:left="3600" w:hanging="720"/>
      </w:pPr>
      <w:rPr>
        <w:rFonts w:hint="default"/>
      </w:rPr>
    </w:lvl>
    <w:lvl w:ilvl="5">
      <w:start w:val="3"/>
      <w:numFmt w:val="bullet"/>
      <w:lvlText w:val="•"/>
      <w:lvlJc w:val="left"/>
      <w:pPr>
        <w:ind w:left="4320" w:hanging="720"/>
      </w:pPr>
      <w:rPr>
        <w:rFonts w:ascii="Arial" w:eastAsia="Times New Roman" w:hAnsi="Arial" w:cs="Arial" w:hint="default"/>
        <w:b w:val="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562A582E"/>
    <w:multiLevelType w:val="hybridMultilevel"/>
    <w:tmpl w:val="0C56AA68"/>
    <w:lvl w:ilvl="0" w:tplc="F4063B58">
      <w:start w:val="1"/>
      <w:numFmt w:val="lowerLetter"/>
      <w:lvlText w:val="(%1)"/>
      <w:lvlJc w:val="left"/>
      <w:pPr>
        <w:ind w:left="1800" w:hanging="360"/>
      </w:pPr>
      <w:rPr>
        <w:rFonts w:ascii="Arial" w:hAnsi="Arial" w:hint="default"/>
        <w:b w:val="0"/>
        <w:i w:val="0"/>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5C916143"/>
    <w:multiLevelType w:val="hybridMultilevel"/>
    <w:tmpl w:val="95263D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8" w15:restartNumberingAfterBreak="0">
    <w:nsid w:val="636A332E"/>
    <w:multiLevelType w:val="hybridMultilevel"/>
    <w:tmpl w:val="70D03DA6"/>
    <w:lvl w:ilvl="0" w:tplc="2BE098E2">
      <w:start w:val="1"/>
      <w:numFmt w:val="bullet"/>
      <w:lvlText w:val="-"/>
      <w:lvlJc w:val="left"/>
      <w:pPr>
        <w:ind w:left="1077" w:hanging="360"/>
      </w:pPr>
      <w:rPr>
        <w:rFonts w:ascii="Arial" w:eastAsiaTheme="minorHAnsi" w:hAnsi="Arial" w:cs="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66CB5730"/>
    <w:multiLevelType w:val="hybridMultilevel"/>
    <w:tmpl w:val="8346866E"/>
    <w:lvl w:ilvl="0" w:tplc="08090001">
      <w:start w:val="1"/>
      <w:numFmt w:val="bullet"/>
      <w:lvlText w:val=""/>
      <w:lvlJc w:val="left"/>
      <w:pPr>
        <w:ind w:left="720" w:hanging="360"/>
      </w:pPr>
      <w:rPr>
        <w:rFonts w:ascii="Symbol" w:hAnsi="Symbol" w:hint="default"/>
      </w:rPr>
    </w:lvl>
    <w:lvl w:ilvl="1" w:tplc="971EC34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1724C5"/>
    <w:multiLevelType w:val="hybridMultilevel"/>
    <w:tmpl w:val="9076A5B4"/>
    <w:lvl w:ilvl="0" w:tplc="C678734E">
      <w:start w:val="1"/>
      <w:numFmt w:val="lowerRoman"/>
      <w:lvlText w:val="(%1)"/>
      <w:lvlJc w:val="right"/>
      <w:pPr>
        <w:ind w:left="1484" w:hanging="360"/>
      </w:pPr>
      <w:rPr>
        <w:rFonts w:ascii="Arial" w:hAnsi="Arial" w:hint="default"/>
        <w:b w:val="0"/>
        <w:i w:val="0"/>
        <w:sz w:val="24"/>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382B1E"/>
    <w:multiLevelType w:val="hybridMultilevel"/>
    <w:tmpl w:val="1E3EA314"/>
    <w:name w:val="WW8Num632"/>
    <w:lvl w:ilvl="0" w:tplc="08090001">
      <w:start w:val="1"/>
      <w:numFmt w:val="bullet"/>
      <w:lvlText w:val=""/>
      <w:lvlJc w:val="left"/>
      <w:pPr>
        <w:ind w:left="1669" w:hanging="360"/>
      </w:pPr>
      <w:rPr>
        <w:rFonts w:ascii="Symbol" w:hAnsi="Symbol" w:hint="default"/>
      </w:rPr>
    </w:lvl>
    <w:lvl w:ilvl="1" w:tplc="DD8E3E14">
      <w:start w:val="1"/>
      <w:numFmt w:val="bullet"/>
      <w:lvlText w:val="o"/>
      <w:lvlJc w:val="left"/>
      <w:pPr>
        <w:ind w:left="2389" w:hanging="360"/>
      </w:pPr>
      <w:rPr>
        <w:rFonts w:ascii="Courier New" w:hAnsi="Courier New" w:cs="Courier New" w:hint="default"/>
      </w:rPr>
    </w:lvl>
    <w:lvl w:ilvl="2" w:tplc="08090005" w:tentative="1">
      <w:start w:val="1"/>
      <w:numFmt w:val="bullet"/>
      <w:lvlText w:val=""/>
      <w:lvlJc w:val="left"/>
      <w:pPr>
        <w:ind w:left="3109" w:hanging="360"/>
      </w:pPr>
      <w:rPr>
        <w:rFonts w:ascii="Wingdings" w:hAnsi="Wingdings" w:hint="default"/>
      </w:rPr>
    </w:lvl>
    <w:lvl w:ilvl="3" w:tplc="08090001" w:tentative="1">
      <w:start w:val="1"/>
      <w:numFmt w:val="bullet"/>
      <w:lvlText w:val=""/>
      <w:lvlJc w:val="left"/>
      <w:pPr>
        <w:ind w:left="3829" w:hanging="360"/>
      </w:pPr>
      <w:rPr>
        <w:rFonts w:ascii="Symbol" w:hAnsi="Symbol" w:hint="default"/>
      </w:rPr>
    </w:lvl>
    <w:lvl w:ilvl="4" w:tplc="08090003" w:tentative="1">
      <w:start w:val="1"/>
      <w:numFmt w:val="bullet"/>
      <w:lvlText w:val="o"/>
      <w:lvlJc w:val="left"/>
      <w:pPr>
        <w:ind w:left="4549" w:hanging="360"/>
      </w:pPr>
      <w:rPr>
        <w:rFonts w:ascii="Courier New" w:hAnsi="Courier New" w:cs="Courier New" w:hint="default"/>
      </w:rPr>
    </w:lvl>
    <w:lvl w:ilvl="5" w:tplc="08090005" w:tentative="1">
      <w:start w:val="1"/>
      <w:numFmt w:val="bullet"/>
      <w:lvlText w:val=""/>
      <w:lvlJc w:val="left"/>
      <w:pPr>
        <w:ind w:left="5269" w:hanging="360"/>
      </w:pPr>
      <w:rPr>
        <w:rFonts w:ascii="Wingdings" w:hAnsi="Wingdings" w:hint="default"/>
      </w:rPr>
    </w:lvl>
    <w:lvl w:ilvl="6" w:tplc="08090001" w:tentative="1">
      <w:start w:val="1"/>
      <w:numFmt w:val="bullet"/>
      <w:lvlText w:val=""/>
      <w:lvlJc w:val="left"/>
      <w:pPr>
        <w:ind w:left="5989" w:hanging="360"/>
      </w:pPr>
      <w:rPr>
        <w:rFonts w:ascii="Symbol" w:hAnsi="Symbol" w:hint="default"/>
      </w:rPr>
    </w:lvl>
    <w:lvl w:ilvl="7" w:tplc="08090003" w:tentative="1">
      <w:start w:val="1"/>
      <w:numFmt w:val="bullet"/>
      <w:lvlText w:val="o"/>
      <w:lvlJc w:val="left"/>
      <w:pPr>
        <w:ind w:left="6709" w:hanging="360"/>
      </w:pPr>
      <w:rPr>
        <w:rFonts w:ascii="Courier New" w:hAnsi="Courier New" w:cs="Courier New" w:hint="default"/>
      </w:rPr>
    </w:lvl>
    <w:lvl w:ilvl="8" w:tplc="08090005" w:tentative="1">
      <w:start w:val="1"/>
      <w:numFmt w:val="bullet"/>
      <w:lvlText w:val=""/>
      <w:lvlJc w:val="left"/>
      <w:pPr>
        <w:ind w:left="7429" w:hanging="360"/>
      </w:pPr>
      <w:rPr>
        <w:rFonts w:ascii="Wingdings" w:hAnsi="Wingdings" w:hint="default"/>
      </w:rPr>
    </w:lvl>
  </w:abstractNum>
  <w:abstractNum w:abstractNumId="42" w15:restartNumberingAfterBreak="0">
    <w:nsid w:val="75CE2BD8"/>
    <w:multiLevelType w:val="hybridMultilevel"/>
    <w:tmpl w:val="11E600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3" w15:restartNumberingAfterBreak="0">
    <w:nsid w:val="7A2E7BE1"/>
    <w:multiLevelType w:val="hybridMultilevel"/>
    <w:tmpl w:val="9280D588"/>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44" w15:restartNumberingAfterBreak="0">
    <w:nsid w:val="7A625004"/>
    <w:multiLevelType w:val="hybridMultilevel"/>
    <w:tmpl w:val="767604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34"/>
  </w:num>
  <w:num w:numId="3">
    <w:abstractNumId w:val="39"/>
  </w:num>
  <w:num w:numId="4">
    <w:abstractNumId w:val="22"/>
  </w:num>
  <w:num w:numId="5">
    <w:abstractNumId w:val="19"/>
  </w:num>
  <w:num w:numId="6">
    <w:abstractNumId w:val="26"/>
  </w:num>
  <w:num w:numId="7">
    <w:abstractNumId w:val="33"/>
  </w:num>
  <w:num w:numId="8">
    <w:abstractNumId w:val="32"/>
  </w:num>
  <w:num w:numId="9">
    <w:abstractNumId w:val="17"/>
  </w:num>
  <w:num w:numId="10">
    <w:abstractNumId w:val="42"/>
  </w:num>
  <w:num w:numId="11">
    <w:abstractNumId w:val="36"/>
  </w:num>
  <w:num w:numId="12">
    <w:abstractNumId w:val="21"/>
  </w:num>
  <w:num w:numId="13">
    <w:abstractNumId w:val="16"/>
  </w:num>
  <w:num w:numId="14">
    <w:abstractNumId w:val="44"/>
  </w:num>
  <w:num w:numId="15">
    <w:abstractNumId w:val="30"/>
  </w:num>
  <w:num w:numId="16">
    <w:abstractNumId w:val="20"/>
  </w:num>
  <w:num w:numId="17">
    <w:abstractNumId w:val="37"/>
  </w:num>
  <w:num w:numId="18">
    <w:abstractNumId w:val="27"/>
  </w:num>
  <w:num w:numId="19">
    <w:abstractNumId w:val="14"/>
  </w:num>
  <w:num w:numId="20">
    <w:abstractNumId w:val="28"/>
  </w:num>
  <w:num w:numId="21">
    <w:abstractNumId w:val="11"/>
  </w:num>
  <w:num w:numId="22">
    <w:abstractNumId w:val="18"/>
  </w:num>
  <w:num w:numId="23">
    <w:abstractNumId w:val="40"/>
  </w:num>
  <w:num w:numId="24">
    <w:abstractNumId w:val="29"/>
  </w:num>
  <w:num w:numId="25">
    <w:abstractNumId w:val="38"/>
  </w:num>
  <w:num w:numId="26">
    <w:abstractNumId w:val="43"/>
  </w:num>
  <w:num w:numId="27">
    <w:abstractNumId w:val="35"/>
  </w:num>
  <w:num w:numId="28">
    <w:abstractNumId w:val="24"/>
  </w:num>
  <w:num w:numId="29">
    <w:abstractNumId w:val="23"/>
  </w:num>
  <w:num w:numId="30">
    <w:abstractNumId w:val="15"/>
  </w:num>
  <w:num w:numId="31">
    <w:abstractNumId w:val="31"/>
  </w:num>
  <w:num w:numId="32">
    <w:abstractNumId w:val="25"/>
  </w:num>
  <w:num w:numId="33">
    <w:abstractNumId w:val="10"/>
  </w:num>
  <w:num w:numId="34">
    <w:abstractNumId w:val="13"/>
  </w:num>
  <w:num w:numId="35">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C09"/>
    <w:rsid w:val="000008E4"/>
    <w:rsid w:val="00010C75"/>
    <w:rsid w:val="0001222D"/>
    <w:rsid w:val="000147DE"/>
    <w:rsid w:val="000153CD"/>
    <w:rsid w:val="00015C78"/>
    <w:rsid w:val="00017587"/>
    <w:rsid w:val="000179F3"/>
    <w:rsid w:val="000217B4"/>
    <w:rsid w:val="000221E5"/>
    <w:rsid w:val="00024D29"/>
    <w:rsid w:val="00032E22"/>
    <w:rsid w:val="000350FB"/>
    <w:rsid w:val="0003744C"/>
    <w:rsid w:val="00037B35"/>
    <w:rsid w:val="0004265A"/>
    <w:rsid w:val="0005172B"/>
    <w:rsid w:val="00051CBD"/>
    <w:rsid w:val="000549F8"/>
    <w:rsid w:val="000575C5"/>
    <w:rsid w:val="00061980"/>
    <w:rsid w:val="000619CB"/>
    <w:rsid w:val="000623CE"/>
    <w:rsid w:val="00062A65"/>
    <w:rsid w:val="000632EE"/>
    <w:rsid w:val="00065421"/>
    <w:rsid w:val="00065E66"/>
    <w:rsid w:val="00067F60"/>
    <w:rsid w:val="000719DC"/>
    <w:rsid w:val="00077D1E"/>
    <w:rsid w:val="000802C4"/>
    <w:rsid w:val="00080F6F"/>
    <w:rsid w:val="00081985"/>
    <w:rsid w:val="0008243D"/>
    <w:rsid w:val="00082667"/>
    <w:rsid w:val="00082832"/>
    <w:rsid w:val="00084052"/>
    <w:rsid w:val="000855A6"/>
    <w:rsid w:val="00087BFA"/>
    <w:rsid w:val="00087C8E"/>
    <w:rsid w:val="000903DF"/>
    <w:rsid w:val="00093E88"/>
    <w:rsid w:val="00094ED7"/>
    <w:rsid w:val="00095FB1"/>
    <w:rsid w:val="00097A5D"/>
    <w:rsid w:val="00097F1C"/>
    <w:rsid w:val="000A0196"/>
    <w:rsid w:val="000A01FF"/>
    <w:rsid w:val="000A1A89"/>
    <w:rsid w:val="000A3027"/>
    <w:rsid w:val="000A3670"/>
    <w:rsid w:val="000A54C1"/>
    <w:rsid w:val="000A6AC3"/>
    <w:rsid w:val="000A795A"/>
    <w:rsid w:val="000B0D1F"/>
    <w:rsid w:val="000B379D"/>
    <w:rsid w:val="000B4909"/>
    <w:rsid w:val="000B5E6F"/>
    <w:rsid w:val="000B6763"/>
    <w:rsid w:val="000C6B67"/>
    <w:rsid w:val="000D1F04"/>
    <w:rsid w:val="000D400B"/>
    <w:rsid w:val="000D5165"/>
    <w:rsid w:val="000E09EA"/>
    <w:rsid w:val="000E1021"/>
    <w:rsid w:val="000E2EFF"/>
    <w:rsid w:val="000E46AA"/>
    <w:rsid w:val="000F117E"/>
    <w:rsid w:val="000F1B28"/>
    <w:rsid w:val="000F235F"/>
    <w:rsid w:val="000F41A3"/>
    <w:rsid w:val="000F653B"/>
    <w:rsid w:val="000F7F4C"/>
    <w:rsid w:val="0010120C"/>
    <w:rsid w:val="001027AA"/>
    <w:rsid w:val="0010405F"/>
    <w:rsid w:val="00112128"/>
    <w:rsid w:val="0011249A"/>
    <w:rsid w:val="00112584"/>
    <w:rsid w:val="001127BC"/>
    <w:rsid w:val="0011331E"/>
    <w:rsid w:val="00113FA2"/>
    <w:rsid w:val="00115D13"/>
    <w:rsid w:val="00123D5B"/>
    <w:rsid w:val="001247B1"/>
    <w:rsid w:val="0012793D"/>
    <w:rsid w:val="001306B9"/>
    <w:rsid w:val="00132C14"/>
    <w:rsid w:val="00133B65"/>
    <w:rsid w:val="00135101"/>
    <w:rsid w:val="001365C0"/>
    <w:rsid w:val="0014666D"/>
    <w:rsid w:val="00147AA0"/>
    <w:rsid w:val="001532DF"/>
    <w:rsid w:val="001650D5"/>
    <w:rsid w:val="00166A91"/>
    <w:rsid w:val="00167F15"/>
    <w:rsid w:val="001742F2"/>
    <w:rsid w:val="00175942"/>
    <w:rsid w:val="001762FD"/>
    <w:rsid w:val="00180BF8"/>
    <w:rsid w:val="001814A8"/>
    <w:rsid w:val="0018279F"/>
    <w:rsid w:val="0018282A"/>
    <w:rsid w:val="001841A0"/>
    <w:rsid w:val="00184313"/>
    <w:rsid w:val="001844E2"/>
    <w:rsid w:val="00184B35"/>
    <w:rsid w:val="0019097A"/>
    <w:rsid w:val="00190A4A"/>
    <w:rsid w:val="001A040B"/>
    <w:rsid w:val="001A3D58"/>
    <w:rsid w:val="001A4377"/>
    <w:rsid w:val="001A5956"/>
    <w:rsid w:val="001A6797"/>
    <w:rsid w:val="001A6B6D"/>
    <w:rsid w:val="001A6DD2"/>
    <w:rsid w:val="001B05DA"/>
    <w:rsid w:val="001B124F"/>
    <w:rsid w:val="001B1381"/>
    <w:rsid w:val="001B3DDC"/>
    <w:rsid w:val="001B40CF"/>
    <w:rsid w:val="001B528B"/>
    <w:rsid w:val="001C2148"/>
    <w:rsid w:val="001C6CC7"/>
    <w:rsid w:val="001C7376"/>
    <w:rsid w:val="001C7506"/>
    <w:rsid w:val="001D0BC7"/>
    <w:rsid w:val="001D0F16"/>
    <w:rsid w:val="001D2832"/>
    <w:rsid w:val="001D3E8E"/>
    <w:rsid w:val="001D4DC5"/>
    <w:rsid w:val="001D66D8"/>
    <w:rsid w:val="001D67C1"/>
    <w:rsid w:val="001D794E"/>
    <w:rsid w:val="001D7FE7"/>
    <w:rsid w:val="001E0D27"/>
    <w:rsid w:val="001E2B83"/>
    <w:rsid w:val="001E31B8"/>
    <w:rsid w:val="001E67A7"/>
    <w:rsid w:val="001E7C6F"/>
    <w:rsid w:val="001F1BCD"/>
    <w:rsid w:val="001F210D"/>
    <w:rsid w:val="001F258A"/>
    <w:rsid w:val="001F7754"/>
    <w:rsid w:val="002054E3"/>
    <w:rsid w:val="002068BB"/>
    <w:rsid w:val="00210BD2"/>
    <w:rsid w:val="00210D37"/>
    <w:rsid w:val="0021570D"/>
    <w:rsid w:val="0022061D"/>
    <w:rsid w:val="00221B7D"/>
    <w:rsid w:val="002221F8"/>
    <w:rsid w:val="00222C89"/>
    <w:rsid w:val="0022364B"/>
    <w:rsid w:val="00223871"/>
    <w:rsid w:val="00225E9D"/>
    <w:rsid w:val="002266D7"/>
    <w:rsid w:val="00226EEC"/>
    <w:rsid w:val="00231A97"/>
    <w:rsid w:val="00232060"/>
    <w:rsid w:val="00235CA7"/>
    <w:rsid w:val="00237387"/>
    <w:rsid w:val="002408F1"/>
    <w:rsid w:val="002411F1"/>
    <w:rsid w:val="002438EE"/>
    <w:rsid w:val="00246751"/>
    <w:rsid w:val="00250521"/>
    <w:rsid w:val="00251E93"/>
    <w:rsid w:val="00252698"/>
    <w:rsid w:val="002535E8"/>
    <w:rsid w:val="002541D2"/>
    <w:rsid w:val="00257423"/>
    <w:rsid w:val="00260B33"/>
    <w:rsid w:val="0026506C"/>
    <w:rsid w:val="00273ABC"/>
    <w:rsid w:val="002752F6"/>
    <w:rsid w:val="00276C16"/>
    <w:rsid w:val="00283B12"/>
    <w:rsid w:val="00284234"/>
    <w:rsid w:val="00290B32"/>
    <w:rsid w:val="002922EA"/>
    <w:rsid w:val="0029346F"/>
    <w:rsid w:val="00295D69"/>
    <w:rsid w:val="002A0209"/>
    <w:rsid w:val="002A1D87"/>
    <w:rsid w:val="002A21C5"/>
    <w:rsid w:val="002A61AB"/>
    <w:rsid w:val="002A7023"/>
    <w:rsid w:val="002B00EA"/>
    <w:rsid w:val="002B3B7D"/>
    <w:rsid w:val="002B54BD"/>
    <w:rsid w:val="002B6E4A"/>
    <w:rsid w:val="002B7596"/>
    <w:rsid w:val="002C20A4"/>
    <w:rsid w:val="002C5D77"/>
    <w:rsid w:val="002C75FD"/>
    <w:rsid w:val="002D0EEB"/>
    <w:rsid w:val="002D139A"/>
    <w:rsid w:val="002D15D7"/>
    <w:rsid w:val="002D24D8"/>
    <w:rsid w:val="002D26F6"/>
    <w:rsid w:val="002D4BF0"/>
    <w:rsid w:val="002D696D"/>
    <w:rsid w:val="002D73E2"/>
    <w:rsid w:val="002D77B7"/>
    <w:rsid w:val="002E05C3"/>
    <w:rsid w:val="002E42E2"/>
    <w:rsid w:val="002F068B"/>
    <w:rsid w:val="002F79EA"/>
    <w:rsid w:val="003032D3"/>
    <w:rsid w:val="00303D7C"/>
    <w:rsid w:val="0030409E"/>
    <w:rsid w:val="003040A5"/>
    <w:rsid w:val="00305554"/>
    <w:rsid w:val="00305813"/>
    <w:rsid w:val="0030589A"/>
    <w:rsid w:val="00315F04"/>
    <w:rsid w:val="00321F42"/>
    <w:rsid w:val="003250D0"/>
    <w:rsid w:val="00331D80"/>
    <w:rsid w:val="00331FFA"/>
    <w:rsid w:val="003351A7"/>
    <w:rsid w:val="0033574A"/>
    <w:rsid w:val="003404DB"/>
    <w:rsid w:val="00341854"/>
    <w:rsid w:val="003450B0"/>
    <w:rsid w:val="0034581E"/>
    <w:rsid w:val="003464D3"/>
    <w:rsid w:val="00347969"/>
    <w:rsid w:val="00347A5F"/>
    <w:rsid w:val="00354646"/>
    <w:rsid w:val="00356585"/>
    <w:rsid w:val="00360667"/>
    <w:rsid w:val="00360BDB"/>
    <w:rsid w:val="003651AE"/>
    <w:rsid w:val="003655FC"/>
    <w:rsid w:val="00365643"/>
    <w:rsid w:val="003746DA"/>
    <w:rsid w:val="00376381"/>
    <w:rsid w:val="00377D0A"/>
    <w:rsid w:val="00381BE1"/>
    <w:rsid w:val="00382941"/>
    <w:rsid w:val="0038741D"/>
    <w:rsid w:val="00393849"/>
    <w:rsid w:val="00394AA5"/>
    <w:rsid w:val="00394AB0"/>
    <w:rsid w:val="00394C33"/>
    <w:rsid w:val="00397FDE"/>
    <w:rsid w:val="003A24B4"/>
    <w:rsid w:val="003A45B0"/>
    <w:rsid w:val="003A5532"/>
    <w:rsid w:val="003B1FE5"/>
    <w:rsid w:val="003B5C9B"/>
    <w:rsid w:val="003B6030"/>
    <w:rsid w:val="003C04A9"/>
    <w:rsid w:val="003C20B3"/>
    <w:rsid w:val="003C2983"/>
    <w:rsid w:val="003C58AF"/>
    <w:rsid w:val="003C58D5"/>
    <w:rsid w:val="003C7F37"/>
    <w:rsid w:val="003D0434"/>
    <w:rsid w:val="003D547E"/>
    <w:rsid w:val="003D60AB"/>
    <w:rsid w:val="003D6FE1"/>
    <w:rsid w:val="003E1313"/>
    <w:rsid w:val="003E3BDE"/>
    <w:rsid w:val="003E3CC2"/>
    <w:rsid w:val="003E5431"/>
    <w:rsid w:val="003E688B"/>
    <w:rsid w:val="003F020E"/>
    <w:rsid w:val="003F1E3C"/>
    <w:rsid w:val="003F3371"/>
    <w:rsid w:val="003F5BEE"/>
    <w:rsid w:val="003F613E"/>
    <w:rsid w:val="003F7561"/>
    <w:rsid w:val="00400E12"/>
    <w:rsid w:val="00402C01"/>
    <w:rsid w:val="004044BF"/>
    <w:rsid w:val="00406158"/>
    <w:rsid w:val="004076EF"/>
    <w:rsid w:val="00407E22"/>
    <w:rsid w:val="00411120"/>
    <w:rsid w:val="00411DDD"/>
    <w:rsid w:val="00412063"/>
    <w:rsid w:val="00413711"/>
    <w:rsid w:val="0041469E"/>
    <w:rsid w:val="004148D7"/>
    <w:rsid w:val="00415074"/>
    <w:rsid w:val="004154B8"/>
    <w:rsid w:val="00416AA6"/>
    <w:rsid w:val="00422D31"/>
    <w:rsid w:val="00425F89"/>
    <w:rsid w:val="00426668"/>
    <w:rsid w:val="004312E1"/>
    <w:rsid w:val="0044440B"/>
    <w:rsid w:val="004470E5"/>
    <w:rsid w:val="00454E96"/>
    <w:rsid w:val="0046055F"/>
    <w:rsid w:val="004630EE"/>
    <w:rsid w:val="00463A8D"/>
    <w:rsid w:val="00464A3A"/>
    <w:rsid w:val="00466BDC"/>
    <w:rsid w:val="00473620"/>
    <w:rsid w:val="00480F21"/>
    <w:rsid w:val="0048429D"/>
    <w:rsid w:val="00486570"/>
    <w:rsid w:val="004877C0"/>
    <w:rsid w:val="00493206"/>
    <w:rsid w:val="004A0F12"/>
    <w:rsid w:val="004A1408"/>
    <w:rsid w:val="004A17F9"/>
    <w:rsid w:val="004A2AE6"/>
    <w:rsid w:val="004A32C2"/>
    <w:rsid w:val="004A4133"/>
    <w:rsid w:val="004A687A"/>
    <w:rsid w:val="004A7CD7"/>
    <w:rsid w:val="004B27AD"/>
    <w:rsid w:val="004B318D"/>
    <w:rsid w:val="004B44E1"/>
    <w:rsid w:val="004B6890"/>
    <w:rsid w:val="004C1471"/>
    <w:rsid w:val="004C2960"/>
    <w:rsid w:val="004C3977"/>
    <w:rsid w:val="004C5EF7"/>
    <w:rsid w:val="004C6D04"/>
    <w:rsid w:val="004D5BE5"/>
    <w:rsid w:val="004D78E3"/>
    <w:rsid w:val="004D7A44"/>
    <w:rsid w:val="004D7D0E"/>
    <w:rsid w:val="004E2739"/>
    <w:rsid w:val="004E42FF"/>
    <w:rsid w:val="004E515D"/>
    <w:rsid w:val="004E7A57"/>
    <w:rsid w:val="004F0110"/>
    <w:rsid w:val="004F1D95"/>
    <w:rsid w:val="004F21D2"/>
    <w:rsid w:val="004F3EA0"/>
    <w:rsid w:val="004F61DA"/>
    <w:rsid w:val="00501BCC"/>
    <w:rsid w:val="00506241"/>
    <w:rsid w:val="00507BC8"/>
    <w:rsid w:val="0051139F"/>
    <w:rsid w:val="0051181A"/>
    <w:rsid w:val="00511DEC"/>
    <w:rsid w:val="00514D9B"/>
    <w:rsid w:val="00515C87"/>
    <w:rsid w:val="00516671"/>
    <w:rsid w:val="00516735"/>
    <w:rsid w:val="00517711"/>
    <w:rsid w:val="00517984"/>
    <w:rsid w:val="00521B17"/>
    <w:rsid w:val="00523C1D"/>
    <w:rsid w:val="005255B4"/>
    <w:rsid w:val="00530F96"/>
    <w:rsid w:val="00531167"/>
    <w:rsid w:val="005312B4"/>
    <w:rsid w:val="00532453"/>
    <w:rsid w:val="00532BCE"/>
    <w:rsid w:val="0053319B"/>
    <w:rsid w:val="005337E5"/>
    <w:rsid w:val="00533C40"/>
    <w:rsid w:val="005346FE"/>
    <w:rsid w:val="00535D5B"/>
    <w:rsid w:val="00543B02"/>
    <w:rsid w:val="0054700E"/>
    <w:rsid w:val="00547D20"/>
    <w:rsid w:val="005538D5"/>
    <w:rsid w:val="0055463C"/>
    <w:rsid w:val="005550BA"/>
    <w:rsid w:val="0055527B"/>
    <w:rsid w:val="005557DC"/>
    <w:rsid w:val="00557183"/>
    <w:rsid w:val="005608B3"/>
    <w:rsid w:val="00562E95"/>
    <w:rsid w:val="00571A2D"/>
    <w:rsid w:val="00574151"/>
    <w:rsid w:val="0057438E"/>
    <w:rsid w:val="00580E79"/>
    <w:rsid w:val="00584E2F"/>
    <w:rsid w:val="00585D47"/>
    <w:rsid w:val="00587066"/>
    <w:rsid w:val="0059384D"/>
    <w:rsid w:val="00595555"/>
    <w:rsid w:val="00595CDD"/>
    <w:rsid w:val="005962D9"/>
    <w:rsid w:val="0059766E"/>
    <w:rsid w:val="005A0C12"/>
    <w:rsid w:val="005A3817"/>
    <w:rsid w:val="005A3BCA"/>
    <w:rsid w:val="005A3F44"/>
    <w:rsid w:val="005A5093"/>
    <w:rsid w:val="005A5389"/>
    <w:rsid w:val="005A7DCB"/>
    <w:rsid w:val="005B1212"/>
    <w:rsid w:val="005B511A"/>
    <w:rsid w:val="005B626C"/>
    <w:rsid w:val="005C2367"/>
    <w:rsid w:val="005C2EE8"/>
    <w:rsid w:val="005C36FA"/>
    <w:rsid w:val="005C4335"/>
    <w:rsid w:val="005C43D8"/>
    <w:rsid w:val="005D2CAE"/>
    <w:rsid w:val="005D43DF"/>
    <w:rsid w:val="005D5F9E"/>
    <w:rsid w:val="005D6A4D"/>
    <w:rsid w:val="005E00A8"/>
    <w:rsid w:val="005E09E0"/>
    <w:rsid w:val="005E6A3A"/>
    <w:rsid w:val="005F125B"/>
    <w:rsid w:val="005F3436"/>
    <w:rsid w:val="005F48AF"/>
    <w:rsid w:val="005F516F"/>
    <w:rsid w:val="005F6DD9"/>
    <w:rsid w:val="0060447B"/>
    <w:rsid w:val="006104F2"/>
    <w:rsid w:val="00611C46"/>
    <w:rsid w:val="00611D95"/>
    <w:rsid w:val="006121E7"/>
    <w:rsid w:val="00612B83"/>
    <w:rsid w:val="006141E3"/>
    <w:rsid w:val="0061630A"/>
    <w:rsid w:val="00617C0A"/>
    <w:rsid w:val="006210B0"/>
    <w:rsid w:val="00623A63"/>
    <w:rsid w:val="00625F6A"/>
    <w:rsid w:val="00626847"/>
    <w:rsid w:val="00630ABD"/>
    <w:rsid w:val="00632B3B"/>
    <w:rsid w:val="00634491"/>
    <w:rsid w:val="00634DA7"/>
    <w:rsid w:val="00637683"/>
    <w:rsid w:val="00641DCC"/>
    <w:rsid w:val="006435F2"/>
    <w:rsid w:val="00645895"/>
    <w:rsid w:val="00653D49"/>
    <w:rsid w:val="00656326"/>
    <w:rsid w:val="00656808"/>
    <w:rsid w:val="006578ED"/>
    <w:rsid w:val="00663A6F"/>
    <w:rsid w:val="00664CF5"/>
    <w:rsid w:val="00667CF8"/>
    <w:rsid w:val="00667D67"/>
    <w:rsid w:val="00671A5F"/>
    <w:rsid w:val="0067356B"/>
    <w:rsid w:val="00673862"/>
    <w:rsid w:val="006740B8"/>
    <w:rsid w:val="00675088"/>
    <w:rsid w:val="0068067D"/>
    <w:rsid w:val="00680B85"/>
    <w:rsid w:val="00687ACA"/>
    <w:rsid w:val="00690555"/>
    <w:rsid w:val="00691495"/>
    <w:rsid w:val="0069394B"/>
    <w:rsid w:val="00695D71"/>
    <w:rsid w:val="006A0B21"/>
    <w:rsid w:val="006A2FD1"/>
    <w:rsid w:val="006A3ADE"/>
    <w:rsid w:val="006A7B07"/>
    <w:rsid w:val="006A7FC5"/>
    <w:rsid w:val="006B1A2D"/>
    <w:rsid w:val="006B2C66"/>
    <w:rsid w:val="006B422C"/>
    <w:rsid w:val="006B5C90"/>
    <w:rsid w:val="006B71F3"/>
    <w:rsid w:val="006B790B"/>
    <w:rsid w:val="006C1967"/>
    <w:rsid w:val="006C1EC5"/>
    <w:rsid w:val="006D2697"/>
    <w:rsid w:val="006D37B3"/>
    <w:rsid w:val="006D583C"/>
    <w:rsid w:val="006D72FC"/>
    <w:rsid w:val="006E0169"/>
    <w:rsid w:val="006E1E27"/>
    <w:rsid w:val="006E4DDE"/>
    <w:rsid w:val="006F1A1E"/>
    <w:rsid w:val="006F2976"/>
    <w:rsid w:val="006F3436"/>
    <w:rsid w:val="006F4F1D"/>
    <w:rsid w:val="006F789C"/>
    <w:rsid w:val="007032E1"/>
    <w:rsid w:val="007044BE"/>
    <w:rsid w:val="00714B87"/>
    <w:rsid w:val="007153A2"/>
    <w:rsid w:val="00716BB7"/>
    <w:rsid w:val="00723A0B"/>
    <w:rsid w:val="007253BA"/>
    <w:rsid w:val="00730090"/>
    <w:rsid w:val="0073098C"/>
    <w:rsid w:val="00730AB6"/>
    <w:rsid w:val="00736ECE"/>
    <w:rsid w:val="0074018B"/>
    <w:rsid w:val="00740343"/>
    <w:rsid w:val="007405CA"/>
    <w:rsid w:val="0074075E"/>
    <w:rsid w:val="00740B69"/>
    <w:rsid w:val="007432DE"/>
    <w:rsid w:val="007443A9"/>
    <w:rsid w:val="00746886"/>
    <w:rsid w:val="007518AD"/>
    <w:rsid w:val="00753518"/>
    <w:rsid w:val="00756927"/>
    <w:rsid w:val="0075707F"/>
    <w:rsid w:val="007570FB"/>
    <w:rsid w:val="0075767C"/>
    <w:rsid w:val="007607B0"/>
    <w:rsid w:val="007619DE"/>
    <w:rsid w:val="00765EF8"/>
    <w:rsid w:val="00773B12"/>
    <w:rsid w:val="00775134"/>
    <w:rsid w:val="00775374"/>
    <w:rsid w:val="00775F6F"/>
    <w:rsid w:val="00776561"/>
    <w:rsid w:val="00776C7A"/>
    <w:rsid w:val="007772D4"/>
    <w:rsid w:val="007773B1"/>
    <w:rsid w:val="00781221"/>
    <w:rsid w:val="00781976"/>
    <w:rsid w:val="007858CC"/>
    <w:rsid w:val="00785DEB"/>
    <w:rsid w:val="00791451"/>
    <w:rsid w:val="0079482F"/>
    <w:rsid w:val="00796C99"/>
    <w:rsid w:val="007A027C"/>
    <w:rsid w:val="007A19A9"/>
    <w:rsid w:val="007A472C"/>
    <w:rsid w:val="007A4F59"/>
    <w:rsid w:val="007A551D"/>
    <w:rsid w:val="007A742C"/>
    <w:rsid w:val="007B1544"/>
    <w:rsid w:val="007B4DBC"/>
    <w:rsid w:val="007B6958"/>
    <w:rsid w:val="007C0E03"/>
    <w:rsid w:val="007C214B"/>
    <w:rsid w:val="007C40B3"/>
    <w:rsid w:val="007C6118"/>
    <w:rsid w:val="007C790E"/>
    <w:rsid w:val="007D0017"/>
    <w:rsid w:val="007D1103"/>
    <w:rsid w:val="007D3D14"/>
    <w:rsid w:val="007D6F56"/>
    <w:rsid w:val="007E1C79"/>
    <w:rsid w:val="007F0D35"/>
    <w:rsid w:val="007F13B0"/>
    <w:rsid w:val="007F1FE8"/>
    <w:rsid w:val="007F24CF"/>
    <w:rsid w:val="007F5C8A"/>
    <w:rsid w:val="007F62EB"/>
    <w:rsid w:val="007F6AE3"/>
    <w:rsid w:val="008012F2"/>
    <w:rsid w:val="00802FC0"/>
    <w:rsid w:val="00805863"/>
    <w:rsid w:val="00806329"/>
    <w:rsid w:val="008076C4"/>
    <w:rsid w:val="00810243"/>
    <w:rsid w:val="00811F46"/>
    <w:rsid w:val="00812023"/>
    <w:rsid w:val="008123A1"/>
    <w:rsid w:val="00813218"/>
    <w:rsid w:val="0081436F"/>
    <w:rsid w:val="00816F62"/>
    <w:rsid w:val="00825236"/>
    <w:rsid w:val="00826F10"/>
    <w:rsid w:val="008273B7"/>
    <w:rsid w:val="00837734"/>
    <w:rsid w:val="00837D86"/>
    <w:rsid w:val="0084272B"/>
    <w:rsid w:val="00843D6C"/>
    <w:rsid w:val="00844833"/>
    <w:rsid w:val="008454C0"/>
    <w:rsid w:val="0084556B"/>
    <w:rsid w:val="00846736"/>
    <w:rsid w:val="008520FB"/>
    <w:rsid w:val="00854902"/>
    <w:rsid w:val="0086279D"/>
    <w:rsid w:val="00864D21"/>
    <w:rsid w:val="00880625"/>
    <w:rsid w:val="0088389A"/>
    <w:rsid w:val="008841F7"/>
    <w:rsid w:val="00884574"/>
    <w:rsid w:val="00884BBE"/>
    <w:rsid w:val="008871B1"/>
    <w:rsid w:val="008935F8"/>
    <w:rsid w:val="00896DAD"/>
    <w:rsid w:val="00897599"/>
    <w:rsid w:val="008A5F0D"/>
    <w:rsid w:val="008A69CC"/>
    <w:rsid w:val="008A6F8B"/>
    <w:rsid w:val="008C13C7"/>
    <w:rsid w:val="008C4625"/>
    <w:rsid w:val="008C6903"/>
    <w:rsid w:val="008D0DC7"/>
    <w:rsid w:val="008D3DD0"/>
    <w:rsid w:val="008D6D41"/>
    <w:rsid w:val="008E04E0"/>
    <w:rsid w:val="008E170D"/>
    <w:rsid w:val="008E286C"/>
    <w:rsid w:val="008E293B"/>
    <w:rsid w:val="008E33C8"/>
    <w:rsid w:val="008E4FA7"/>
    <w:rsid w:val="008F158E"/>
    <w:rsid w:val="008F4A63"/>
    <w:rsid w:val="008F662C"/>
    <w:rsid w:val="008F6AB4"/>
    <w:rsid w:val="0090105C"/>
    <w:rsid w:val="00901235"/>
    <w:rsid w:val="00902BBF"/>
    <w:rsid w:val="00906191"/>
    <w:rsid w:val="009122A8"/>
    <w:rsid w:val="00912AA2"/>
    <w:rsid w:val="00913553"/>
    <w:rsid w:val="0091430D"/>
    <w:rsid w:val="0091533A"/>
    <w:rsid w:val="00916A20"/>
    <w:rsid w:val="00922F69"/>
    <w:rsid w:val="00924F7B"/>
    <w:rsid w:val="00926C95"/>
    <w:rsid w:val="00932A73"/>
    <w:rsid w:val="00937259"/>
    <w:rsid w:val="00943320"/>
    <w:rsid w:val="009447C7"/>
    <w:rsid w:val="00944DED"/>
    <w:rsid w:val="00945F88"/>
    <w:rsid w:val="00946C49"/>
    <w:rsid w:val="00947CE3"/>
    <w:rsid w:val="009510FC"/>
    <w:rsid w:val="0095312A"/>
    <w:rsid w:val="00955BBF"/>
    <w:rsid w:val="00960999"/>
    <w:rsid w:val="0096306B"/>
    <w:rsid w:val="00963B63"/>
    <w:rsid w:val="00963C09"/>
    <w:rsid w:val="00965CF4"/>
    <w:rsid w:val="00967117"/>
    <w:rsid w:val="00970245"/>
    <w:rsid w:val="00971499"/>
    <w:rsid w:val="0097220F"/>
    <w:rsid w:val="00973C6F"/>
    <w:rsid w:val="00974BD5"/>
    <w:rsid w:val="009762D4"/>
    <w:rsid w:val="00977AE0"/>
    <w:rsid w:val="009807EF"/>
    <w:rsid w:val="00980871"/>
    <w:rsid w:val="009809DF"/>
    <w:rsid w:val="00984399"/>
    <w:rsid w:val="00987D91"/>
    <w:rsid w:val="00990A43"/>
    <w:rsid w:val="00991241"/>
    <w:rsid w:val="0099179E"/>
    <w:rsid w:val="00994671"/>
    <w:rsid w:val="00996747"/>
    <w:rsid w:val="00996CF1"/>
    <w:rsid w:val="009A0584"/>
    <w:rsid w:val="009A23F3"/>
    <w:rsid w:val="009A585D"/>
    <w:rsid w:val="009B3DAC"/>
    <w:rsid w:val="009B3FFD"/>
    <w:rsid w:val="009B4323"/>
    <w:rsid w:val="009B6600"/>
    <w:rsid w:val="009B7261"/>
    <w:rsid w:val="009C0D44"/>
    <w:rsid w:val="009C775A"/>
    <w:rsid w:val="009D0FDD"/>
    <w:rsid w:val="009D1B53"/>
    <w:rsid w:val="009D7F14"/>
    <w:rsid w:val="009E1BEA"/>
    <w:rsid w:val="009E438D"/>
    <w:rsid w:val="009E5473"/>
    <w:rsid w:val="009E6090"/>
    <w:rsid w:val="009E65EC"/>
    <w:rsid w:val="009F2C08"/>
    <w:rsid w:val="009F3236"/>
    <w:rsid w:val="009F407A"/>
    <w:rsid w:val="009F708E"/>
    <w:rsid w:val="00A01148"/>
    <w:rsid w:val="00A033BE"/>
    <w:rsid w:val="00A03BE3"/>
    <w:rsid w:val="00A03D84"/>
    <w:rsid w:val="00A0401F"/>
    <w:rsid w:val="00A04951"/>
    <w:rsid w:val="00A07824"/>
    <w:rsid w:val="00A07D2B"/>
    <w:rsid w:val="00A10ADA"/>
    <w:rsid w:val="00A12EF5"/>
    <w:rsid w:val="00A131F2"/>
    <w:rsid w:val="00A16799"/>
    <w:rsid w:val="00A16F04"/>
    <w:rsid w:val="00A2065C"/>
    <w:rsid w:val="00A27F34"/>
    <w:rsid w:val="00A31419"/>
    <w:rsid w:val="00A34DB5"/>
    <w:rsid w:val="00A350C9"/>
    <w:rsid w:val="00A36924"/>
    <w:rsid w:val="00A44E0A"/>
    <w:rsid w:val="00A47467"/>
    <w:rsid w:val="00A52816"/>
    <w:rsid w:val="00A52B14"/>
    <w:rsid w:val="00A53592"/>
    <w:rsid w:val="00A53DBD"/>
    <w:rsid w:val="00A55FCF"/>
    <w:rsid w:val="00A6064D"/>
    <w:rsid w:val="00A61761"/>
    <w:rsid w:val="00A64144"/>
    <w:rsid w:val="00A658A6"/>
    <w:rsid w:val="00A67C8A"/>
    <w:rsid w:val="00A70420"/>
    <w:rsid w:val="00A70B80"/>
    <w:rsid w:val="00A72F81"/>
    <w:rsid w:val="00A75CC4"/>
    <w:rsid w:val="00A801C1"/>
    <w:rsid w:val="00A80DF4"/>
    <w:rsid w:val="00A86DAA"/>
    <w:rsid w:val="00A87ACE"/>
    <w:rsid w:val="00A90382"/>
    <w:rsid w:val="00A92078"/>
    <w:rsid w:val="00A92E8B"/>
    <w:rsid w:val="00A93636"/>
    <w:rsid w:val="00A95A14"/>
    <w:rsid w:val="00AA02E9"/>
    <w:rsid w:val="00AA0A23"/>
    <w:rsid w:val="00AA0CD4"/>
    <w:rsid w:val="00AA42AE"/>
    <w:rsid w:val="00AA5BD7"/>
    <w:rsid w:val="00AA62D1"/>
    <w:rsid w:val="00AA6759"/>
    <w:rsid w:val="00AB2E0E"/>
    <w:rsid w:val="00AB4C85"/>
    <w:rsid w:val="00AB745B"/>
    <w:rsid w:val="00AC01C8"/>
    <w:rsid w:val="00AC09C9"/>
    <w:rsid w:val="00AC2740"/>
    <w:rsid w:val="00AC2F8D"/>
    <w:rsid w:val="00AC402A"/>
    <w:rsid w:val="00AC5967"/>
    <w:rsid w:val="00AC7763"/>
    <w:rsid w:val="00AC7E3A"/>
    <w:rsid w:val="00AD1715"/>
    <w:rsid w:val="00AD3CFF"/>
    <w:rsid w:val="00AD4258"/>
    <w:rsid w:val="00AD52E9"/>
    <w:rsid w:val="00AD69AD"/>
    <w:rsid w:val="00AE4129"/>
    <w:rsid w:val="00AE4DBD"/>
    <w:rsid w:val="00AE78F7"/>
    <w:rsid w:val="00AF0633"/>
    <w:rsid w:val="00AF2434"/>
    <w:rsid w:val="00AF6229"/>
    <w:rsid w:val="00AF7B4B"/>
    <w:rsid w:val="00B014A2"/>
    <w:rsid w:val="00B02C5E"/>
    <w:rsid w:val="00B0729B"/>
    <w:rsid w:val="00B10995"/>
    <w:rsid w:val="00B10F2C"/>
    <w:rsid w:val="00B154EB"/>
    <w:rsid w:val="00B164FC"/>
    <w:rsid w:val="00B16521"/>
    <w:rsid w:val="00B165A9"/>
    <w:rsid w:val="00B20EB2"/>
    <w:rsid w:val="00B232B9"/>
    <w:rsid w:val="00B270A9"/>
    <w:rsid w:val="00B271DB"/>
    <w:rsid w:val="00B31DD4"/>
    <w:rsid w:val="00B32F26"/>
    <w:rsid w:val="00B32FC2"/>
    <w:rsid w:val="00B3336A"/>
    <w:rsid w:val="00B334A8"/>
    <w:rsid w:val="00B34041"/>
    <w:rsid w:val="00B341F9"/>
    <w:rsid w:val="00B34974"/>
    <w:rsid w:val="00B34D79"/>
    <w:rsid w:val="00B42A81"/>
    <w:rsid w:val="00B439D1"/>
    <w:rsid w:val="00B4476F"/>
    <w:rsid w:val="00B4609C"/>
    <w:rsid w:val="00B53168"/>
    <w:rsid w:val="00B5336F"/>
    <w:rsid w:val="00B53814"/>
    <w:rsid w:val="00B54951"/>
    <w:rsid w:val="00B54CD2"/>
    <w:rsid w:val="00B67167"/>
    <w:rsid w:val="00B73AE6"/>
    <w:rsid w:val="00B75805"/>
    <w:rsid w:val="00B801A7"/>
    <w:rsid w:val="00B81D90"/>
    <w:rsid w:val="00B83921"/>
    <w:rsid w:val="00B86E17"/>
    <w:rsid w:val="00B902C4"/>
    <w:rsid w:val="00B91E53"/>
    <w:rsid w:val="00B93CCA"/>
    <w:rsid w:val="00B9415B"/>
    <w:rsid w:val="00B96074"/>
    <w:rsid w:val="00BA2B92"/>
    <w:rsid w:val="00BA390A"/>
    <w:rsid w:val="00BA6258"/>
    <w:rsid w:val="00BB0535"/>
    <w:rsid w:val="00BB1AFA"/>
    <w:rsid w:val="00BB1CEC"/>
    <w:rsid w:val="00BB2E16"/>
    <w:rsid w:val="00BB4960"/>
    <w:rsid w:val="00BB5C6C"/>
    <w:rsid w:val="00BB735C"/>
    <w:rsid w:val="00BC0423"/>
    <w:rsid w:val="00BC059B"/>
    <w:rsid w:val="00BC0F3A"/>
    <w:rsid w:val="00BC1788"/>
    <w:rsid w:val="00BC2704"/>
    <w:rsid w:val="00BC2C1E"/>
    <w:rsid w:val="00BC3B35"/>
    <w:rsid w:val="00BC5852"/>
    <w:rsid w:val="00BC639C"/>
    <w:rsid w:val="00BC677B"/>
    <w:rsid w:val="00BC67D5"/>
    <w:rsid w:val="00BD07B7"/>
    <w:rsid w:val="00BD12F0"/>
    <w:rsid w:val="00BD47EF"/>
    <w:rsid w:val="00BD51F5"/>
    <w:rsid w:val="00BD7C07"/>
    <w:rsid w:val="00BE0B87"/>
    <w:rsid w:val="00BE31FF"/>
    <w:rsid w:val="00BE3FEF"/>
    <w:rsid w:val="00BE4AE7"/>
    <w:rsid w:val="00BE799A"/>
    <w:rsid w:val="00BF1899"/>
    <w:rsid w:val="00BF48D7"/>
    <w:rsid w:val="00BF67D0"/>
    <w:rsid w:val="00BF7482"/>
    <w:rsid w:val="00C01582"/>
    <w:rsid w:val="00C0201E"/>
    <w:rsid w:val="00C04C58"/>
    <w:rsid w:val="00C071CA"/>
    <w:rsid w:val="00C14238"/>
    <w:rsid w:val="00C16480"/>
    <w:rsid w:val="00C177B6"/>
    <w:rsid w:val="00C20700"/>
    <w:rsid w:val="00C20D85"/>
    <w:rsid w:val="00C20EFD"/>
    <w:rsid w:val="00C21074"/>
    <w:rsid w:val="00C211C5"/>
    <w:rsid w:val="00C22A1C"/>
    <w:rsid w:val="00C26A7A"/>
    <w:rsid w:val="00C26EC3"/>
    <w:rsid w:val="00C27524"/>
    <w:rsid w:val="00C335B1"/>
    <w:rsid w:val="00C335FC"/>
    <w:rsid w:val="00C36082"/>
    <w:rsid w:val="00C40541"/>
    <w:rsid w:val="00C41D1C"/>
    <w:rsid w:val="00C43D6E"/>
    <w:rsid w:val="00C443E1"/>
    <w:rsid w:val="00C44ED7"/>
    <w:rsid w:val="00C468EC"/>
    <w:rsid w:val="00C504C8"/>
    <w:rsid w:val="00C563B8"/>
    <w:rsid w:val="00C572A9"/>
    <w:rsid w:val="00C60395"/>
    <w:rsid w:val="00C6702E"/>
    <w:rsid w:val="00C70451"/>
    <w:rsid w:val="00C7572B"/>
    <w:rsid w:val="00C75ACF"/>
    <w:rsid w:val="00C80C80"/>
    <w:rsid w:val="00C85C43"/>
    <w:rsid w:val="00C86FB6"/>
    <w:rsid w:val="00C90FB7"/>
    <w:rsid w:val="00C97CD3"/>
    <w:rsid w:val="00CA0777"/>
    <w:rsid w:val="00CA1145"/>
    <w:rsid w:val="00CA16FD"/>
    <w:rsid w:val="00CA3B57"/>
    <w:rsid w:val="00CA559B"/>
    <w:rsid w:val="00CA5EDA"/>
    <w:rsid w:val="00CA6DAC"/>
    <w:rsid w:val="00CB1DBF"/>
    <w:rsid w:val="00CB2270"/>
    <w:rsid w:val="00CB6850"/>
    <w:rsid w:val="00CC3344"/>
    <w:rsid w:val="00CC410D"/>
    <w:rsid w:val="00CC62E7"/>
    <w:rsid w:val="00CC747B"/>
    <w:rsid w:val="00CD36D6"/>
    <w:rsid w:val="00CD5F2B"/>
    <w:rsid w:val="00CD7388"/>
    <w:rsid w:val="00CE0D8A"/>
    <w:rsid w:val="00CE2631"/>
    <w:rsid w:val="00CE27F7"/>
    <w:rsid w:val="00CE3D9F"/>
    <w:rsid w:val="00CF3CB2"/>
    <w:rsid w:val="00CF4D6A"/>
    <w:rsid w:val="00CF5BA2"/>
    <w:rsid w:val="00D0024A"/>
    <w:rsid w:val="00D017D5"/>
    <w:rsid w:val="00D031FA"/>
    <w:rsid w:val="00D04447"/>
    <w:rsid w:val="00D04AA5"/>
    <w:rsid w:val="00D06C02"/>
    <w:rsid w:val="00D10034"/>
    <w:rsid w:val="00D12AB4"/>
    <w:rsid w:val="00D1312A"/>
    <w:rsid w:val="00D13442"/>
    <w:rsid w:val="00D20425"/>
    <w:rsid w:val="00D21842"/>
    <w:rsid w:val="00D22427"/>
    <w:rsid w:val="00D24900"/>
    <w:rsid w:val="00D24BEC"/>
    <w:rsid w:val="00D251EF"/>
    <w:rsid w:val="00D26F10"/>
    <w:rsid w:val="00D31D97"/>
    <w:rsid w:val="00D3421C"/>
    <w:rsid w:val="00D35A4A"/>
    <w:rsid w:val="00D36B8A"/>
    <w:rsid w:val="00D37A47"/>
    <w:rsid w:val="00D408D7"/>
    <w:rsid w:val="00D41990"/>
    <w:rsid w:val="00D42CEB"/>
    <w:rsid w:val="00D46C60"/>
    <w:rsid w:val="00D47FD1"/>
    <w:rsid w:val="00D546EF"/>
    <w:rsid w:val="00D5701C"/>
    <w:rsid w:val="00D5785D"/>
    <w:rsid w:val="00D57B27"/>
    <w:rsid w:val="00D57B32"/>
    <w:rsid w:val="00D62A2F"/>
    <w:rsid w:val="00D65B63"/>
    <w:rsid w:val="00D65FC1"/>
    <w:rsid w:val="00D70007"/>
    <w:rsid w:val="00D7626A"/>
    <w:rsid w:val="00D8078E"/>
    <w:rsid w:val="00D81CDB"/>
    <w:rsid w:val="00D867E5"/>
    <w:rsid w:val="00D86FE6"/>
    <w:rsid w:val="00D92572"/>
    <w:rsid w:val="00D94D96"/>
    <w:rsid w:val="00DA061C"/>
    <w:rsid w:val="00DA0FC0"/>
    <w:rsid w:val="00DA3E5A"/>
    <w:rsid w:val="00DA631A"/>
    <w:rsid w:val="00DB35BC"/>
    <w:rsid w:val="00DB67B8"/>
    <w:rsid w:val="00DC2740"/>
    <w:rsid w:val="00DC48FD"/>
    <w:rsid w:val="00DD0D42"/>
    <w:rsid w:val="00DD1AC1"/>
    <w:rsid w:val="00DD3105"/>
    <w:rsid w:val="00DD5BF9"/>
    <w:rsid w:val="00DE1371"/>
    <w:rsid w:val="00DE3D99"/>
    <w:rsid w:val="00DE5BC0"/>
    <w:rsid w:val="00DE5E99"/>
    <w:rsid w:val="00DF07E4"/>
    <w:rsid w:val="00DF2349"/>
    <w:rsid w:val="00DF726D"/>
    <w:rsid w:val="00DF7DF9"/>
    <w:rsid w:val="00E00183"/>
    <w:rsid w:val="00E00D60"/>
    <w:rsid w:val="00E01A1C"/>
    <w:rsid w:val="00E038C0"/>
    <w:rsid w:val="00E100D9"/>
    <w:rsid w:val="00E10A68"/>
    <w:rsid w:val="00E16CEE"/>
    <w:rsid w:val="00E20D8A"/>
    <w:rsid w:val="00E22DCB"/>
    <w:rsid w:val="00E23B01"/>
    <w:rsid w:val="00E3393A"/>
    <w:rsid w:val="00E34CA4"/>
    <w:rsid w:val="00E3520D"/>
    <w:rsid w:val="00E36307"/>
    <w:rsid w:val="00E37A7B"/>
    <w:rsid w:val="00E40F9E"/>
    <w:rsid w:val="00E4255A"/>
    <w:rsid w:val="00E437C6"/>
    <w:rsid w:val="00E46E82"/>
    <w:rsid w:val="00E506F7"/>
    <w:rsid w:val="00E53760"/>
    <w:rsid w:val="00E607FA"/>
    <w:rsid w:val="00E64962"/>
    <w:rsid w:val="00E649B9"/>
    <w:rsid w:val="00E700A3"/>
    <w:rsid w:val="00E747AF"/>
    <w:rsid w:val="00E85399"/>
    <w:rsid w:val="00E85813"/>
    <w:rsid w:val="00E8584F"/>
    <w:rsid w:val="00E85E1B"/>
    <w:rsid w:val="00E8635A"/>
    <w:rsid w:val="00E86970"/>
    <w:rsid w:val="00E877B7"/>
    <w:rsid w:val="00E91F92"/>
    <w:rsid w:val="00E93452"/>
    <w:rsid w:val="00E95552"/>
    <w:rsid w:val="00E965C6"/>
    <w:rsid w:val="00EA149B"/>
    <w:rsid w:val="00EA263B"/>
    <w:rsid w:val="00EA399F"/>
    <w:rsid w:val="00EA4369"/>
    <w:rsid w:val="00EA6217"/>
    <w:rsid w:val="00EA72ED"/>
    <w:rsid w:val="00EB388A"/>
    <w:rsid w:val="00EB7C7F"/>
    <w:rsid w:val="00EB7D45"/>
    <w:rsid w:val="00EB7D60"/>
    <w:rsid w:val="00EC4FD5"/>
    <w:rsid w:val="00EC649C"/>
    <w:rsid w:val="00EC70B6"/>
    <w:rsid w:val="00ED0DB6"/>
    <w:rsid w:val="00ED158A"/>
    <w:rsid w:val="00ED2714"/>
    <w:rsid w:val="00ED3DD9"/>
    <w:rsid w:val="00ED4F74"/>
    <w:rsid w:val="00EE0D64"/>
    <w:rsid w:val="00EE2022"/>
    <w:rsid w:val="00EE45F6"/>
    <w:rsid w:val="00EE6F04"/>
    <w:rsid w:val="00EE70C5"/>
    <w:rsid w:val="00EF2BFA"/>
    <w:rsid w:val="00EF5339"/>
    <w:rsid w:val="00F000F0"/>
    <w:rsid w:val="00F00907"/>
    <w:rsid w:val="00F02692"/>
    <w:rsid w:val="00F046E1"/>
    <w:rsid w:val="00F10DA8"/>
    <w:rsid w:val="00F10DCE"/>
    <w:rsid w:val="00F13A87"/>
    <w:rsid w:val="00F15DC3"/>
    <w:rsid w:val="00F1608D"/>
    <w:rsid w:val="00F16638"/>
    <w:rsid w:val="00F221FD"/>
    <w:rsid w:val="00F25177"/>
    <w:rsid w:val="00F252A3"/>
    <w:rsid w:val="00F2548E"/>
    <w:rsid w:val="00F30350"/>
    <w:rsid w:val="00F335AE"/>
    <w:rsid w:val="00F33A4E"/>
    <w:rsid w:val="00F35C05"/>
    <w:rsid w:val="00F35C9D"/>
    <w:rsid w:val="00F37613"/>
    <w:rsid w:val="00F4140D"/>
    <w:rsid w:val="00F42543"/>
    <w:rsid w:val="00F47B07"/>
    <w:rsid w:val="00F47F87"/>
    <w:rsid w:val="00F525AB"/>
    <w:rsid w:val="00F60A9B"/>
    <w:rsid w:val="00F60BDC"/>
    <w:rsid w:val="00F618C8"/>
    <w:rsid w:val="00F641A3"/>
    <w:rsid w:val="00F64AB7"/>
    <w:rsid w:val="00F660E0"/>
    <w:rsid w:val="00F724AC"/>
    <w:rsid w:val="00F81159"/>
    <w:rsid w:val="00F812A6"/>
    <w:rsid w:val="00F8200C"/>
    <w:rsid w:val="00F850E4"/>
    <w:rsid w:val="00F86167"/>
    <w:rsid w:val="00F90131"/>
    <w:rsid w:val="00F90B78"/>
    <w:rsid w:val="00F92D51"/>
    <w:rsid w:val="00F93926"/>
    <w:rsid w:val="00F95AA9"/>
    <w:rsid w:val="00FA0A4E"/>
    <w:rsid w:val="00FA1C8C"/>
    <w:rsid w:val="00FA2A29"/>
    <w:rsid w:val="00FA3080"/>
    <w:rsid w:val="00FA3BD6"/>
    <w:rsid w:val="00FA4807"/>
    <w:rsid w:val="00FA6F4A"/>
    <w:rsid w:val="00FB00C7"/>
    <w:rsid w:val="00FB47B0"/>
    <w:rsid w:val="00FB6188"/>
    <w:rsid w:val="00FB67DC"/>
    <w:rsid w:val="00FB7B11"/>
    <w:rsid w:val="00FB7D9D"/>
    <w:rsid w:val="00FC07A1"/>
    <w:rsid w:val="00FC1250"/>
    <w:rsid w:val="00FC1EAD"/>
    <w:rsid w:val="00FC301C"/>
    <w:rsid w:val="00FC4344"/>
    <w:rsid w:val="00FC6B23"/>
    <w:rsid w:val="00FC6D69"/>
    <w:rsid w:val="00FC6D87"/>
    <w:rsid w:val="00FD1BDF"/>
    <w:rsid w:val="00FD5645"/>
    <w:rsid w:val="00FD59A4"/>
    <w:rsid w:val="00FD7D94"/>
    <w:rsid w:val="00FE283E"/>
    <w:rsid w:val="00FE45CD"/>
    <w:rsid w:val="00FE68B2"/>
    <w:rsid w:val="00FE6F42"/>
    <w:rsid w:val="00FF0AD4"/>
    <w:rsid w:val="00FF0EBF"/>
    <w:rsid w:val="00FF40C5"/>
    <w:rsid w:val="00FF6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86129"/>
  <w15:chartTrackingRefBased/>
  <w15:docId w15:val="{C1FD3BDD-15AF-4007-A1AD-C88DA99E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02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A0209"/>
    <w:rPr>
      <w:color w:val="0000FF"/>
      <w:u w:val="single"/>
    </w:rPr>
  </w:style>
  <w:style w:type="paragraph" w:styleId="ListParagraph">
    <w:name w:val="List Paragraph"/>
    <w:basedOn w:val="Normal"/>
    <w:uiPriority w:val="34"/>
    <w:qFormat/>
    <w:rsid w:val="00667CF8"/>
    <w:pPr>
      <w:ind w:left="720"/>
      <w:contextualSpacing/>
    </w:pPr>
  </w:style>
  <w:style w:type="paragraph" w:styleId="FootnoteText">
    <w:name w:val="footnote text"/>
    <w:aliases w:val="Char,Footnote Text Char Char,FT Char Char,FT"/>
    <w:basedOn w:val="Normal"/>
    <w:link w:val="FootnoteTextChar"/>
    <w:uiPriority w:val="99"/>
    <w:unhideWhenUsed/>
    <w:rsid w:val="008E4FA7"/>
    <w:pPr>
      <w:spacing w:after="0" w:line="240" w:lineRule="auto"/>
    </w:pPr>
    <w:rPr>
      <w:sz w:val="20"/>
      <w:szCs w:val="20"/>
    </w:rPr>
  </w:style>
  <w:style w:type="character" w:customStyle="1" w:styleId="FootnoteTextChar">
    <w:name w:val="Footnote Text Char"/>
    <w:aliases w:val="Char Char,Footnote Text Char Char Char,FT Char Char Char,FT Char"/>
    <w:basedOn w:val="DefaultParagraphFont"/>
    <w:link w:val="FootnoteText"/>
    <w:uiPriority w:val="99"/>
    <w:rsid w:val="008E4FA7"/>
    <w:rPr>
      <w:sz w:val="20"/>
      <w:szCs w:val="20"/>
    </w:rPr>
  </w:style>
  <w:style w:type="character" w:styleId="FootnoteReference">
    <w:name w:val="footnote reference"/>
    <w:uiPriority w:val="99"/>
    <w:rsid w:val="008E4FA7"/>
    <w:rPr>
      <w:vertAlign w:val="superscript"/>
    </w:rPr>
  </w:style>
  <w:style w:type="paragraph" w:styleId="Header">
    <w:name w:val="header"/>
    <w:basedOn w:val="Normal"/>
    <w:link w:val="HeaderChar"/>
    <w:uiPriority w:val="99"/>
    <w:unhideWhenUsed/>
    <w:rsid w:val="008E4F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FA7"/>
  </w:style>
  <w:style w:type="paragraph" w:styleId="Footer">
    <w:name w:val="footer"/>
    <w:basedOn w:val="Normal"/>
    <w:link w:val="FooterChar"/>
    <w:uiPriority w:val="99"/>
    <w:unhideWhenUsed/>
    <w:rsid w:val="008E4F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FA7"/>
  </w:style>
  <w:style w:type="paragraph" w:styleId="BalloonText">
    <w:name w:val="Balloon Text"/>
    <w:basedOn w:val="Normal"/>
    <w:link w:val="BalloonTextChar"/>
    <w:uiPriority w:val="99"/>
    <w:semiHidden/>
    <w:unhideWhenUsed/>
    <w:rsid w:val="00B10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F2C"/>
    <w:rPr>
      <w:rFonts w:ascii="Segoe UI" w:hAnsi="Segoe UI" w:cs="Segoe UI"/>
      <w:sz w:val="18"/>
      <w:szCs w:val="18"/>
    </w:rPr>
  </w:style>
  <w:style w:type="paragraph" w:styleId="EndnoteText">
    <w:name w:val="endnote text"/>
    <w:basedOn w:val="Normal"/>
    <w:link w:val="EndnoteTextChar"/>
    <w:uiPriority w:val="99"/>
    <w:semiHidden/>
    <w:unhideWhenUsed/>
    <w:rsid w:val="00CF4D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4D6A"/>
    <w:rPr>
      <w:sz w:val="20"/>
      <w:szCs w:val="20"/>
    </w:rPr>
  </w:style>
  <w:style w:type="character" w:styleId="EndnoteReference">
    <w:name w:val="endnote reference"/>
    <w:basedOn w:val="DefaultParagraphFont"/>
    <w:uiPriority w:val="99"/>
    <w:semiHidden/>
    <w:unhideWhenUsed/>
    <w:rsid w:val="00CF4D6A"/>
    <w:rPr>
      <w:vertAlign w:val="superscript"/>
    </w:rPr>
  </w:style>
  <w:style w:type="table" w:styleId="TableGrid">
    <w:name w:val="Table Grid"/>
    <w:basedOn w:val="TableNormal"/>
    <w:uiPriority w:val="59"/>
    <w:rsid w:val="004C296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d">
    <w:name w:val="hed"/>
    <w:basedOn w:val="Normal"/>
    <w:rsid w:val="00CE0D8A"/>
    <w:pPr>
      <w:spacing w:before="100" w:beforeAutospacing="1" w:after="100" w:afterAutospacing="1" w:line="240" w:lineRule="auto"/>
    </w:pPr>
    <w:rPr>
      <w:rFonts w:ascii="Times New Roman" w:eastAsia="Times New Roman" w:hAnsi="Times New Roman" w:cs="Times New Roman"/>
      <w:b/>
      <w:bCs/>
      <w:color w:val="441670"/>
      <w:sz w:val="24"/>
      <w:szCs w:val="24"/>
      <w:lang w:eastAsia="en-GB"/>
    </w:rPr>
  </w:style>
  <w:style w:type="paragraph" w:customStyle="1" w:styleId="textnonindent">
    <w:name w:val="textnonindent"/>
    <w:basedOn w:val="Normal"/>
    <w:rsid w:val="0030409E"/>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FootnoteCharacters">
    <w:name w:val="Footnote Characters"/>
    <w:rsid w:val="00EA149B"/>
  </w:style>
  <w:style w:type="character" w:styleId="UnresolvedMention">
    <w:name w:val="Unresolved Mention"/>
    <w:basedOn w:val="DefaultParagraphFont"/>
    <w:uiPriority w:val="99"/>
    <w:semiHidden/>
    <w:unhideWhenUsed/>
    <w:rsid w:val="006C1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8358">
      <w:bodyDiv w:val="1"/>
      <w:marLeft w:val="0"/>
      <w:marRight w:val="0"/>
      <w:marTop w:val="0"/>
      <w:marBottom w:val="0"/>
      <w:divBdr>
        <w:top w:val="none" w:sz="0" w:space="0" w:color="auto"/>
        <w:left w:val="none" w:sz="0" w:space="0" w:color="auto"/>
        <w:bottom w:val="none" w:sz="0" w:space="0" w:color="auto"/>
        <w:right w:val="none" w:sz="0" w:space="0" w:color="auto"/>
      </w:divBdr>
      <w:divsChild>
        <w:div w:id="1191802368">
          <w:marLeft w:val="0"/>
          <w:marRight w:val="0"/>
          <w:marTop w:val="0"/>
          <w:marBottom w:val="0"/>
          <w:divBdr>
            <w:top w:val="none" w:sz="0" w:space="0" w:color="auto"/>
            <w:left w:val="none" w:sz="0" w:space="0" w:color="auto"/>
            <w:bottom w:val="none" w:sz="0" w:space="0" w:color="auto"/>
            <w:right w:val="none" w:sz="0" w:space="0" w:color="auto"/>
          </w:divBdr>
          <w:divsChild>
            <w:div w:id="465008767">
              <w:marLeft w:val="0"/>
              <w:marRight w:val="0"/>
              <w:marTop w:val="0"/>
              <w:marBottom w:val="0"/>
              <w:divBdr>
                <w:top w:val="none" w:sz="0" w:space="0" w:color="auto"/>
                <w:left w:val="none" w:sz="0" w:space="0" w:color="auto"/>
                <w:bottom w:val="none" w:sz="0" w:space="0" w:color="auto"/>
                <w:right w:val="none" w:sz="0" w:space="0" w:color="auto"/>
              </w:divBdr>
              <w:divsChild>
                <w:div w:id="1443694063">
                  <w:marLeft w:val="0"/>
                  <w:marRight w:val="0"/>
                  <w:marTop w:val="0"/>
                  <w:marBottom w:val="0"/>
                  <w:divBdr>
                    <w:top w:val="none" w:sz="0" w:space="0" w:color="auto"/>
                    <w:left w:val="none" w:sz="0" w:space="0" w:color="auto"/>
                    <w:bottom w:val="none" w:sz="0" w:space="0" w:color="auto"/>
                    <w:right w:val="none" w:sz="0" w:space="0" w:color="auto"/>
                  </w:divBdr>
                  <w:divsChild>
                    <w:div w:id="19629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303">
              <w:marLeft w:val="0"/>
              <w:marRight w:val="0"/>
              <w:marTop w:val="0"/>
              <w:marBottom w:val="0"/>
              <w:divBdr>
                <w:top w:val="none" w:sz="0" w:space="0" w:color="auto"/>
                <w:left w:val="none" w:sz="0" w:space="0" w:color="auto"/>
                <w:bottom w:val="none" w:sz="0" w:space="0" w:color="auto"/>
                <w:right w:val="none" w:sz="0" w:space="0" w:color="auto"/>
              </w:divBdr>
              <w:divsChild>
                <w:div w:id="320155700">
                  <w:marLeft w:val="0"/>
                  <w:marRight w:val="0"/>
                  <w:marTop w:val="0"/>
                  <w:marBottom w:val="0"/>
                  <w:divBdr>
                    <w:top w:val="none" w:sz="0" w:space="0" w:color="auto"/>
                    <w:left w:val="none" w:sz="0" w:space="0" w:color="auto"/>
                    <w:bottom w:val="none" w:sz="0" w:space="0" w:color="auto"/>
                    <w:right w:val="none" w:sz="0" w:space="0" w:color="auto"/>
                  </w:divBdr>
                  <w:divsChild>
                    <w:div w:id="17088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16460">
              <w:marLeft w:val="0"/>
              <w:marRight w:val="0"/>
              <w:marTop w:val="0"/>
              <w:marBottom w:val="0"/>
              <w:divBdr>
                <w:top w:val="none" w:sz="0" w:space="0" w:color="auto"/>
                <w:left w:val="none" w:sz="0" w:space="0" w:color="auto"/>
                <w:bottom w:val="none" w:sz="0" w:space="0" w:color="auto"/>
                <w:right w:val="none" w:sz="0" w:space="0" w:color="auto"/>
              </w:divBdr>
              <w:divsChild>
                <w:div w:id="354423245">
                  <w:marLeft w:val="0"/>
                  <w:marRight w:val="0"/>
                  <w:marTop w:val="0"/>
                  <w:marBottom w:val="0"/>
                  <w:divBdr>
                    <w:top w:val="none" w:sz="0" w:space="0" w:color="auto"/>
                    <w:left w:val="none" w:sz="0" w:space="0" w:color="auto"/>
                    <w:bottom w:val="none" w:sz="0" w:space="0" w:color="auto"/>
                    <w:right w:val="none" w:sz="0" w:space="0" w:color="auto"/>
                  </w:divBdr>
                  <w:divsChild>
                    <w:div w:id="120645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341737">
      <w:bodyDiv w:val="1"/>
      <w:marLeft w:val="0"/>
      <w:marRight w:val="0"/>
      <w:marTop w:val="0"/>
      <w:marBottom w:val="0"/>
      <w:divBdr>
        <w:top w:val="none" w:sz="0" w:space="0" w:color="auto"/>
        <w:left w:val="none" w:sz="0" w:space="0" w:color="auto"/>
        <w:bottom w:val="none" w:sz="0" w:space="0" w:color="auto"/>
        <w:right w:val="none" w:sz="0" w:space="0" w:color="auto"/>
      </w:divBdr>
    </w:div>
    <w:div w:id="381826847">
      <w:bodyDiv w:val="1"/>
      <w:marLeft w:val="0"/>
      <w:marRight w:val="0"/>
      <w:marTop w:val="0"/>
      <w:marBottom w:val="0"/>
      <w:divBdr>
        <w:top w:val="none" w:sz="0" w:space="0" w:color="auto"/>
        <w:left w:val="none" w:sz="0" w:space="0" w:color="auto"/>
        <w:bottom w:val="none" w:sz="0" w:space="0" w:color="auto"/>
        <w:right w:val="none" w:sz="0" w:space="0" w:color="auto"/>
      </w:divBdr>
    </w:div>
    <w:div w:id="505291862">
      <w:bodyDiv w:val="1"/>
      <w:marLeft w:val="0"/>
      <w:marRight w:val="0"/>
      <w:marTop w:val="0"/>
      <w:marBottom w:val="0"/>
      <w:divBdr>
        <w:top w:val="none" w:sz="0" w:space="0" w:color="auto"/>
        <w:left w:val="none" w:sz="0" w:space="0" w:color="auto"/>
        <w:bottom w:val="none" w:sz="0" w:space="0" w:color="auto"/>
        <w:right w:val="none" w:sz="0" w:space="0" w:color="auto"/>
      </w:divBdr>
      <w:divsChild>
        <w:div w:id="152187857">
          <w:marLeft w:val="0"/>
          <w:marRight w:val="0"/>
          <w:marTop w:val="0"/>
          <w:marBottom w:val="0"/>
          <w:divBdr>
            <w:top w:val="none" w:sz="0" w:space="0" w:color="auto"/>
            <w:left w:val="none" w:sz="0" w:space="0" w:color="auto"/>
            <w:bottom w:val="none" w:sz="0" w:space="0" w:color="auto"/>
            <w:right w:val="none" w:sz="0" w:space="0" w:color="auto"/>
          </w:divBdr>
          <w:divsChild>
            <w:div w:id="2139452177">
              <w:marLeft w:val="0"/>
              <w:marRight w:val="0"/>
              <w:marTop w:val="0"/>
              <w:marBottom w:val="0"/>
              <w:divBdr>
                <w:top w:val="none" w:sz="0" w:space="0" w:color="auto"/>
                <w:left w:val="none" w:sz="0" w:space="0" w:color="auto"/>
                <w:bottom w:val="none" w:sz="0" w:space="0" w:color="auto"/>
                <w:right w:val="none" w:sz="0" w:space="0" w:color="auto"/>
              </w:divBdr>
              <w:divsChild>
                <w:div w:id="4700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3104">
          <w:marLeft w:val="0"/>
          <w:marRight w:val="0"/>
          <w:marTop w:val="0"/>
          <w:marBottom w:val="0"/>
          <w:divBdr>
            <w:top w:val="none" w:sz="0" w:space="0" w:color="auto"/>
            <w:left w:val="none" w:sz="0" w:space="0" w:color="auto"/>
            <w:bottom w:val="none" w:sz="0" w:space="0" w:color="auto"/>
            <w:right w:val="none" w:sz="0" w:space="0" w:color="auto"/>
          </w:divBdr>
          <w:divsChild>
            <w:div w:id="297608242">
              <w:marLeft w:val="0"/>
              <w:marRight w:val="0"/>
              <w:marTop w:val="0"/>
              <w:marBottom w:val="0"/>
              <w:divBdr>
                <w:top w:val="none" w:sz="0" w:space="0" w:color="auto"/>
                <w:left w:val="none" w:sz="0" w:space="0" w:color="auto"/>
                <w:bottom w:val="none" w:sz="0" w:space="0" w:color="auto"/>
                <w:right w:val="none" w:sz="0" w:space="0" w:color="auto"/>
              </w:divBdr>
              <w:divsChild>
                <w:div w:id="19697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2873">
          <w:marLeft w:val="0"/>
          <w:marRight w:val="0"/>
          <w:marTop w:val="0"/>
          <w:marBottom w:val="0"/>
          <w:divBdr>
            <w:top w:val="none" w:sz="0" w:space="0" w:color="auto"/>
            <w:left w:val="none" w:sz="0" w:space="0" w:color="auto"/>
            <w:bottom w:val="none" w:sz="0" w:space="0" w:color="auto"/>
            <w:right w:val="none" w:sz="0" w:space="0" w:color="auto"/>
          </w:divBdr>
          <w:divsChild>
            <w:div w:id="360013642">
              <w:marLeft w:val="0"/>
              <w:marRight w:val="0"/>
              <w:marTop w:val="0"/>
              <w:marBottom w:val="0"/>
              <w:divBdr>
                <w:top w:val="none" w:sz="0" w:space="0" w:color="auto"/>
                <w:left w:val="none" w:sz="0" w:space="0" w:color="auto"/>
                <w:bottom w:val="none" w:sz="0" w:space="0" w:color="auto"/>
                <w:right w:val="none" w:sz="0" w:space="0" w:color="auto"/>
              </w:divBdr>
              <w:divsChild>
                <w:div w:id="18353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4864">
      <w:bodyDiv w:val="1"/>
      <w:marLeft w:val="0"/>
      <w:marRight w:val="0"/>
      <w:marTop w:val="0"/>
      <w:marBottom w:val="0"/>
      <w:divBdr>
        <w:top w:val="none" w:sz="0" w:space="0" w:color="auto"/>
        <w:left w:val="none" w:sz="0" w:space="0" w:color="auto"/>
        <w:bottom w:val="none" w:sz="0" w:space="0" w:color="auto"/>
        <w:right w:val="none" w:sz="0" w:space="0" w:color="auto"/>
      </w:divBdr>
    </w:div>
    <w:div w:id="991366830">
      <w:bodyDiv w:val="1"/>
      <w:marLeft w:val="0"/>
      <w:marRight w:val="0"/>
      <w:marTop w:val="0"/>
      <w:marBottom w:val="0"/>
      <w:divBdr>
        <w:top w:val="none" w:sz="0" w:space="0" w:color="auto"/>
        <w:left w:val="none" w:sz="0" w:space="0" w:color="auto"/>
        <w:bottom w:val="none" w:sz="0" w:space="0" w:color="auto"/>
        <w:right w:val="none" w:sz="0" w:space="0" w:color="auto"/>
      </w:divBdr>
    </w:div>
    <w:div w:id="2092578586">
      <w:bodyDiv w:val="1"/>
      <w:marLeft w:val="0"/>
      <w:marRight w:val="0"/>
      <w:marTop w:val="0"/>
      <w:marBottom w:val="0"/>
      <w:divBdr>
        <w:top w:val="none" w:sz="0" w:space="0" w:color="auto"/>
        <w:left w:val="none" w:sz="0" w:space="0" w:color="auto"/>
        <w:bottom w:val="none" w:sz="0" w:space="0" w:color="auto"/>
        <w:right w:val="none" w:sz="0" w:space="0" w:color="auto"/>
      </w:divBdr>
      <w:divsChild>
        <w:div w:id="1726444942">
          <w:marLeft w:val="0"/>
          <w:marRight w:val="0"/>
          <w:marTop w:val="0"/>
          <w:marBottom w:val="0"/>
          <w:divBdr>
            <w:top w:val="none" w:sz="0" w:space="0" w:color="auto"/>
            <w:left w:val="none" w:sz="0" w:space="0" w:color="auto"/>
            <w:bottom w:val="none" w:sz="0" w:space="0" w:color="auto"/>
            <w:right w:val="none" w:sz="0" w:space="0" w:color="auto"/>
          </w:divBdr>
          <w:divsChild>
            <w:div w:id="1070691509">
              <w:marLeft w:val="0"/>
              <w:marRight w:val="0"/>
              <w:marTop w:val="0"/>
              <w:marBottom w:val="0"/>
              <w:divBdr>
                <w:top w:val="none" w:sz="0" w:space="0" w:color="auto"/>
                <w:left w:val="none" w:sz="0" w:space="0" w:color="auto"/>
                <w:bottom w:val="none" w:sz="0" w:space="0" w:color="auto"/>
                <w:right w:val="none" w:sz="0" w:space="0" w:color="auto"/>
              </w:divBdr>
            </w:div>
          </w:divsChild>
        </w:div>
        <w:div w:id="1750494838">
          <w:marLeft w:val="0"/>
          <w:marRight w:val="0"/>
          <w:marTop w:val="0"/>
          <w:marBottom w:val="0"/>
          <w:divBdr>
            <w:top w:val="none" w:sz="0" w:space="0" w:color="auto"/>
            <w:left w:val="none" w:sz="0" w:space="0" w:color="auto"/>
            <w:bottom w:val="none" w:sz="0" w:space="0" w:color="auto"/>
            <w:right w:val="none" w:sz="0" w:space="0" w:color="auto"/>
          </w:divBdr>
          <w:divsChild>
            <w:div w:id="13569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beckbury.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ttendee.gotowebinar.com/recording/788981217205228979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uidance/hmcts-online-services-for-legal-professiona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esley.king888@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277DF-69D0-4683-A3F9-85F9FBF29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7587</Words>
  <Characters>43247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The University of Law</Company>
  <LinksUpToDate>false</LinksUpToDate>
  <CharactersWithSpaces>50733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king</dc:creator>
  <cp:keywords/>
  <dc:description/>
  <cp:lastModifiedBy>Estatesearch Helpdesk</cp:lastModifiedBy>
  <cp:revision>6</cp:revision>
  <cp:lastPrinted>2020-02-23T13:42:00Z</cp:lastPrinted>
  <dcterms:created xsi:type="dcterms:W3CDTF">2020-11-26T16:13:00Z</dcterms:created>
  <dcterms:modified xsi:type="dcterms:W3CDTF">2020-12-03T19:50:00Z</dcterms:modified>
</cp:coreProperties>
</file>